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189" w:after="9"/>
        <w:ind w:left="0" w:right="0" w:hanging="0"/>
        <w:jc w:val="center"/>
        <w:rPr>
          <w:rFonts w:ascii="Times New Roman" w:hAnsi="Times New Roman"/>
          <w:b/>
          <w:strike w:val="false"/>
          <w:dstrike w:val="false"/>
          <w:sz w:val="26"/>
          <w:szCs w:val="26"/>
          <w:u w:val="none"/>
          <w:effect w:val="none"/>
        </w:rPr>
      </w:pPr>
      <w:r>
        <w:rPr>
          <w:rFonts w:ascii="Times New Roman" w:hAnsi="Times New Roman"/>
          <w:b/>
          <w:strike w:val="false"/>
          <w:dstrike w:val="false"/>
          <w:sz w:val="26"/>
          <w:szCs w:val="26"/>
          <w:u w:val="none"/>
          <w:effect w:val="none"/>
        </w:rPr>
        <w:t>Wymagania edukacyjne na poszczególne oceny</w:t>
      </w:r>
    </w:p>
    <w:p>
      <w:pPr>
        <w:pStyle w:val="Normal"/>
        <w:bidi w:val="0"/>
        <w:spacing w:lineRule="auto" w:line="240" w:before="189" w:after="9"/>
        <w:ind w:left="0" w:right="0" w:hanging="0"/>
        <w:jc w:val="center"/>
        <w:rPr>
          <w:rFonts w:ascii="Times New Roman" w:hAnsi="Times New Roman"/>
          <w:b/>
          <w:strike w:val="false"/>
          <w:dstrike w:val="false"/>
          <w:sz w:val="26"/>
          <w:szCs w:val="26"/>
          <w:u w:val="none"/>
          <w:effect w:val="none"/>
        </w:rPr>
      </w:pPr>
      <w:r>
        <w:rPr>
          <w:rFonts w:ascii="Times New Roman" w:hAnsi="Times New Roman"/>
          <w:b/>
          <w:strike w:val="false"/>
          <w:dstrike w:val="false"/>
          <w:sz w:val="26"/>
          <w:szCs w:val="26"/>
          <w:u w:val="none"/>
          <w:effect w:val="none"/>
        </w:rPr>
        <w:t>- „Matematyka w punkt” – klasa 7</w:t>
      </w:r>
    </w:p>
    <w:p>
      <w:pPr>
        <w:pStyle w:val="Normal"/>
        <w:bidi w:val="0"/>
        <w:spacing w:lineRule="auto" w:line="240" w:before="189" w:after="9"/>
        <w:ind w:left="0" w:right="0" w:hanging="0"/>
        <w:jc w:val="left"/>
        <w:rPr>
          <w:rFonts w:ascii="Times New Roman" w:hAnsi="Times New Roman"/>
          <w:b/>
          <w:strike w:val="false"/>
          <w:dstrike w:val="false"/>
          <w:sz w:val="26"/>
          <w:szCs w:val="26"/>
          <w:u w:val="none"/>
          <w:effect w:val="none"/>
        </w:rPr>
      </w:pPr>
      <w:r>
        <w:rPr>
          <w:rFonts w:ascii="Times New Roman" w:hAnsi="Times New Roman"/>
          <w:b/>
          <w:strike w:val="false"/>
          <w:dstrike w:val="false"/>
          <w:sz w:val="26"/>
          <w:szCs w:val="26"/>
          <w:u w:val="none"/>
          <w:effect w:val="none"/>
        </w:rPr>
        <w:t>DZIAŁ 1. Liczby i działania</w:t>
      </w:r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dopuszczającą (2):</w:t>
      </w:r>
    </w:p>
    <w:p>
      <w:pPr>
        <w:pStyle w:val="Tretekstu"/>
        <w:numPr>
          <w:ilvl w:val="1"/>
          <w:numId w:val="1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Rozpoznaje i wskazuje na osi liczbowej liczby całkowite i proste liczby wymierne.</w:t>
      </w:r>
    </w:p>
    <w:p>
      <w:pPr>
        <w:pStyle w:val="Tretekstu"/>
        <w:numPr>
          <w:ilvl w:val="1"/>
          <w:numId w:val="1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Wskazuje liczbę przeciwną i odwrotną do danej.</w:t>
      </w:r>
    </w:p>
    <w:p>
      <w:pPr>
        <w:pStyle w:val="Tretekstu"/>
        <w:numPr>
          <w:ilvl w:val="1"/>
          <w:numId w:val="1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Skraca i rozszerza proste ułamki zwykłe.</w:t>
      </w:r>
    </w:p>
    <w:p>
      <w:pPr>
        <w:pStyle w:val="Tretekstu"/>
        <w:numPr>
          <w:ilvl w:val="1"/>
          <w:numId w:val="1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Wykonuje proste, jednopoziomowe dodawanie i odejmowanie liczb dodatnich i ujemnych.</w:t>
      </w:r>
    </w:p>
    <w:p>
      <w:pPr>
        <w:pStyle w:val="Tretekstu"/>
        <w:numPr>
          <w:ilvl w:val="1"/>
          <w:numId w:val="1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Zaokrągla liczby całkowite i proste ułamki dziesiętne do wskazanego rzędu (np. do części dziesiętnych).</w:t>
      </w:r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dostateczną (3):</w:t>
      </w:r>
    </w:p>
    <w:p>
      <w:pPr>
        <w:pStyle w:val="Tretekstu"/>
        <w:numPr>
          <w:ilvl w:val="1"/>
          <w:numId w:val="10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Samodzielnie wykonuje cztery podstawowe działania (dodawanie, odejmowanie, mnożenie, dzielenie) na dowolnych liczbach wymiernych.</w:t>
      </w:r>
    </w:p>
    <w:p>
      <w:pPr>
        <w:pStyle w:val="Tretekstu"/>
        <w:numPr>
          <w:ilvl w:val="1"/>
          <w:numId w:val="1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Zamienia ułamki zwykłe na dziesiętne (w tym rozwinięcia skończone i okresowe).</w:t>
      </w:r>
    </w:p>
    <w:p>
      <w:pPr>
        <w:pStyle w:val="Tretekstu"/>
        <w:numPr>
          <w:ilvl w:val="1"/>
          <w:numId w:val="1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Stosuje prawidłową kolejność wykonywania działań w standardowych wyrażeniach arytmetycznych (z użyciem nawiasów).</w:t>
      </w:r>
    </w:p>
    <w:p>
      <w:pPr>
        <w:pStyle w:val="Tretekstu"/>
        <w:numPr>
          <w:ilvl w:val="1"/>
          <w:numId w:val="1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Porównuje i porządkuje rosnąco/malejąco zestaw kilku liczb wymiernych.</w:t>
      </w:r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dobrą (4):</w:t>
      </w:r>
    </w:p>
    <w:p>
      <w:pPr>
        <w:pStyle w:val="Tretekstu"/>
        <w:numPr>
          <w:ilvl w:val="1"/>
          <w:numId w:val="11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Wykonuje złożone, wieloetapowe działania na ułamkach zwykłych i dziesiętnych (w tym działania mieszane).</w:t>
      </w:r>
    </w:p>
    <w:p>
      <w:pPr>
        <w:pStyle w:val="Tretekstu"/>
        <w:numPr>
          <w:ilvl w:val="1"/>
          <w:numId w:val="1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Szacuje wyniki skomplikowanych działań i sprawnie zaokrągla je w kontekście zadań z treścią.</w:t>
      </w:r>
    </w:p>
    <w:p>
      <w:pPr>
        <w:pStyle w:val="Tretekstu"/>
        <w:numPr>
          <w:ilvl w:val="1"/>
          <w:numId w:val="1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Rozwiązuje standardowe zadania tekstowe wymagające obliczeń na liczbach wymiernych.</w:t>
      </w:r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bardzo dobrą (5):</w:t>
      </w:r>
    </w:p>
    <w:p>
      <w:pPr>
        <w:pStyle w:val="Tretekstu"/>
        <w:numPr>
          <w:ilvl w:val="1"/>
          <w:numId w:val="12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Bezbłędnie oblicza wartości skomplikowanych ułamków piętrowych oraz wyrażeń z wieloma poziomami nawiasów.</w:t>
      </w:r>
    </w:p>
    <w:p>
      <w:pPr>
        <w:pStyle w:val="Tretekstu"/>
        <w:numPr>
          <w:ilvl w:val="1"/>
          <w:numId w:val="1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Rozwiązuje nietypowe zadania tekstowe (np. zadania oparte na logice, podziałach na części) i uzasadnia wybrane metody obliczeń.</w:t>
      </w:r>
    </w:p>
    <w:p>
      <w:pPr>
        <w:pStyle w:val="Tretekstu"/>
        <w:numPr>
          <w:ilvl w:val="1"/>
          <w:numId w:val="1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Przeprowadza proste dowody matematyczne dotyczące własności liczb (np. podzielności).</w:t>
      </w:r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celującą (6):</w:t>
      </w:r>
    </w:p>
    <w:p>
      <w:pPr>
        <w:pStyle w:val="Tretekstu"/>
        <w:numPr>
          <w:ilvl w:val="1"/>
          <w:numId w:val="13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Rozwiązuje trudne zadania z teorii liczb (np. cechy podzielności w układach innych niż dziesiętny, wyznaczanie cyfry jedności ogromnych liczb).</w:t>
      </w:r>
    </w:p>
    <w:p>
      <w:pPr>
        <w:pStyle w:val="Liniapozioma"/>
        <w:bidi w:val="0"/>
        <w:spacing w:lineRule="auto" w:line="240"/>
        <w:jc w:val="left"/>
        <w:rPr>
          <w:rFonts w:ascii="Times New Roman" w:hAnsi="Times New Roman"/>
          <w:sz w:val="8"/>
          <w:szCs w:val="8"/>
        </w:rPr>
      </w:pPr>
      <w:r>
        <w:rPr>
          <w:rFonts w:ascii="Times New Roman" w:hAnsi="Times New Roman"/>
          <w:sz w:val="8"/>
          <w:szCs w:val="8"/>
        </w:rPr>
      </w:r>
    </w:p>
    <w:p>
      <w:pPr>
        <w:pStyle w:val="Tretekstu"/>
        <w:bidi w:val="0"/>
        <w:spacing w:lineRule="auto" w:line="240" w:before="360" w:after="180"/>
        <w:ind w:left="0" w:right="0" w:hanging="0"/>
        <w:jc w:val="left"/>
        <w:rPr>
          <w:rFonts w:ascii="Times New Roman" w:hAnsi="Times New Roman"/>
          <w:b/>
          <w:strike w:val="false"/>
          <w:dstrike w:val="false"/>
          <w:sz w:val="26"/>
          <w:szCs w:val="26"/>
          <w:u w:val="none"/>
          <w:effect w:val="none"/>
        </w:rPr>
      </w:pPr>
      <w:r>
        <w:rPr>
          <w:rFonts w:ascii="Times New Roman" w:hAnsi="Times New Roman"/>
          <w:b/>
          <w:strike w:val="false"/>
          <w:dstrike w:val="false"/>
          <w:sz w:val="26"/>
          <w:szCs w:val="26"/>
          <w:u w:val="none"/>
          <w:effect w:val="none"/>
        </w:rPr>
        <w:t>DZIAŁ 2. Obliczenia procentowe</w:t>
      </w:r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dopuszczającą (2):</w:t>
      </w:r>
    </w:p>
    <w:p>
      <w:pPr>
        <w:pStyle w:val="Tretekstu"/>
        <w:numPr>
          <w:ilvl w:val="1"/>
          <w:numId w:val="2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 xml:space="preserve">Wyjaśnia, że procent to jedna setna część 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r>
      <m:oMath xmlns:m="http://schemas.openxmlformats.org/officeDocument/2006/math">
        <m:r>
          <w:rPr>
            <w:rFonts w:ascii="Cambria Math" w:hAnsi="Cambria Math"/>
          </w:rPr>
          <m:t xml:space="preserve">1</m:t>
        </m:r>
        <m:r>
          <m:rPr>
            <m:lit/>
            <m:nor/>
          </m:rPr>
          <w:rPr>
            <w:rFonts w:ascii="Cambria Math" w:hAnsi="Cambria Math"/>
          </w:rPr>
          <m:t xml:space="preserve">%</m:t>
        </m:r>
        <m:r>
          <w:rPr>
            <w:rFonts w:ascii="Cambria Math" w:hAnsi="Cambria Math"/>
          </w:rPr>
          <m:t xml:space="preserve">=</m:t>
        </m:r>
        <m:f>
          <m:num>
            <m:r>
              <w:rPr>
                <w:rFonts w:ascii="Cambria Math" w:hAnsi="Cambria Math"/>
              </w:rPr>
              <m:t xml:space="preserve">1</m:t>
            </m:r>
          </m:num>
          <m:den>
            <m:r>
              <w:rPr>
                <w:rFonts w:ascii="Cambria Math" w:hAnsi="Cambria Math"/>
              </w:rPr>
              <m:t xml:space="preserve">100</m:t>
            </m:r>
          </m:den>
        </m:f>
        <m:r>
          <w:rPr>
            <w:rFonts w:ascii="Cambria Math" w:hAnsi="Cambria Math"/>
          </w:rPr>
          <m:t xml:space="preserve">=</m:t>
        </m:r>
        <m:r>
          <w:rPr>
            <w:rFonts w:ascii="Cambria Math" w:hAnsi="Cambria Math"/>
          </w:rPr>
          <m:t xml:space="preserve">0,01</m:t>
        </m:r>
      </m:oMath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.</w:t>
      </w:r>
    </w:p>
    <w:p>
      <w:pPr>
        <w:pStyle w:val="Tretekstu"/>
        <w:numPr>
          <w:ilvl w:val="1"/>
          <w:numId w:val="2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Intuicyjnie zamienia podstawowe wartości: 10%, 25%, 50%, 100% na ułamki i odwrotnie.</w:t>
      </w:r>
    </w:p>
    <w:p>
      <w:pPr>
        <w:pStyle w:val="Tretekstu"/>
        <w:numPr>
          <w:ilvl w:val="1"/>
          <w:numId w:val="2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Wskazuje na prostym rysunku lub diagramie obszar odpowiadający danemu procentowi.</w:t>
      </w:r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dostateczną (3):</w:t>
      </w:r>
    </w:p>
    <w:p>
      <w:pPr>
        <w:pStyle w:val="Tretekstu"/>
        <w:numPr>
          <w:ilvl w:val="1"/>
          <w:numId w:val="14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Zamienia dowolny procent na ułamek zwykły/dziesiętny oraz dowolny ułamek na procent.</w:t>
      </w:r>
    </w:p>
    <w:p>
      <w:pPr>
        <w:pStyle w:val="Tretekstu"/>
        <w:numPr>
          <w:ilvl w:val="1"/>
          <w:numId w:val="2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Oblicza procent z danej liczby w typowych sytuacjach, np. ile to jest15% z liczby 200</w:t>
      </w:r>
    </w:p>
    <w:p>
      <w:pPr>
        <w:pStyle w:val="Tretekstu"/>
        <w:numPr>
          <w:ilvl w:val="1"/>
          <w:numId w:val="2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Wyznacza liczbę, gdy dany jest jej procent, np. znajdź liczbę, której 20% wynosi 40</w:t>
      </w:r>
    </w:p>
    <w:p>
      <w:pPr>
        <w:pStyle w:val="Tretekstu"/>
        <w:numPr>
          <w:ilvl w:val="1"/>
          <w:numId w:val="2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Odczytuje bezpośrednie dane z diagramów słupkowych i kołowych.</w:t>
      </w:r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dobrą (4):</w:t>
      </w:r>
    </w:p>
    <w:p>
      <w:pPr>
        <w:pStyle w:val="Tretekstu"/>
        <w:numPr>
          <w:ilvl w:val="1"/>
          <w:numId w:val="15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Oblicza, jaki procent jednej liczby stanowi druga liczba.</w:t>
      </w:r>
    </w:p>
    <w:p>
      <w:pPr>
        <w:pStyle w:val="Tretekstu"/>
        <w:numPr>
          <w:ilvl w:val="1"/>
          <w:numId w:val="2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Rozwiązuje zadania tekstowe z kontekstu praktycznego: oblicza nową cenę po pojedynczej podwyżce lub obniżce o dany procent.</w:t>
      </w:r>
    </w:p>
    <w:p>
      <w:pPr>
        <w:pStyle w:val="Tretekstu"/>
        <w:numPr>
          <w:ilvl w:val="1"/>
          <w:numId w:val="2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Konstruuje proste diagramy procentowe na podstawie zebranych danych.</w:t>
      </w:r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bardzo dobrą (5):</w:t>
      </w:r>
    </w:p>
    <w:p>
      <w:pPr>
        <w:pStyle w:val="Tretekstu"/>
        <w:numPr>
          <w:ilvl w:val="1"/>
          <w:numId w:val="16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Rozwiązuje zaawansowane zadania o kilkukrotnych, seryjnych zmianach cen, np. podwyżka o 10%, a następnie obniżka nowej ceny o 10%</w:t>
      </w:r>
    </w:p>
    <w:p>
      <w:pPr>
        <w:pStyle w:val="Tretekstu"/>
        <w:numPr>
          <w:ilvl w:val="1"/>
          <w:numId w:val="2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Rozróżnia i prawidłowo stosuje pojęcia: procent a punkt procentowy.</w:t>
      </w:r>
    </w:p>
    <w:p>
      <w:pPr>
        <w:pStyle w:val="Tretekstu"/>
        <w:numPr>
          <w:ilvl w:val="1"/>
          <w:numId w:val="2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Rozwiązuje zadania tekstowe o podwyższonym stopniu trudności (np. proste zadania ze stężeniami roztworów lub lokatami bankowymi).</w:t>
      </w:r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celującą (6):</w:t>
      </w:r>
    </w:p>
    <w:p>
      <w:pPr>
        <w:pStyle w:val="Tretekstu"/>
        <w:numPr>
          <w:ilvl w:val="1"/>
          <w:numId w:val="17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Tworzy zaawansowane modele matematyczne do rozwiązywania nietypowych problemów ekonomicznych i statystycznych z użyciem procentów.</w:t>
      </w:r>
    </w:p>
    <w:p>
      <w:pPr>
        <w:pStyle w:val="Liniapozioma"/>
        <w:bidi w:val="0"/>
        <w:spacing w:lineRule="auto" w:line="240"/>
        <w:jc w:val="left"/>
        <w:rPr>
          <w:rFonts w:ascii="Times New Roman" w:hAnsi="Times New Roman"/>
          <w:sz w:val="8"/>
          <w:szCs w:val="8"/>
        </w:rPr>
      </w:pPr>
      <w:r>
        <w:rPr>
          <w:rFonts w:ascii="Times New Roman" w:hAnsi="Times New Roman"/>
          <w:sz w:val="8"/>
          <w:szCs w:val="8"/>
        </w:rPr>
      </w:r>
    </w:p>
    <w:p>
      <w:pPr>
        <w:pStyle w:val="Tretekstu"/>
        <w:bidi w:val="0"/>
        <w:spacing w:lineRule="auto" w:line="240" w:before="360" w:after="180"/>
        <w:ind w:left="0" w:right="0" w:hanging="0"/>
        <w:jc w:val="left"/>
        <w:rPr>
          <w:rFonts w:ascii="Times New Roman" w:hAnsi="Times New Roman"/>
          <w:b/>
          <w:strike w:val="false"/>
          <w:dstrike w:val="false"/>
          <w:sz w:val="26"/>
          <w:szCs w:val="26"/>
          <w:u w:val="none"/>
          <w:effect w:val="none"/>
        </w:rPr>
      </w:pPr>
      <w:r>
        <w:rPr>
          <w:rFonts w:ascii="Times New Roman" w:hAnsi="Times New Roman"/>
          <w:b/>
          <w:strike w:val="false"/>
          <w:dstrike w:val="false"/>
          <w:sz w:val="26"/>
          <w:szCs w:val="26"/>
          <w:u w:val="none"/>
          <w:effect w:val="none"/>
        </w:rPr>
        <w:t>DZIAŁ 3. Potęgi</w:t>
      </w:r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dopuszczającą (2):</w:t>
      </w:r>
    </w:p>
    <w:p>
      <w:pPr>
        <w:pStyle w:val="Tretekstu"/>
        <w:numPr>
          <w:ilvl w:val="1"/>
          <w:numId w:val="3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 xml:space="preserve">Zapisuje iloczyn jednakowych czynników w postaci potęgi, np. 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r>
      <m:oMath xmlns:m="http://schemas.openxmlformats.org/officeDocument/2006/math">
        <m:r>
          <w:rPr>
            <w:rFonts w:ascii="Cambria Math" w:hAnsi="Cambria Math"/>
          </w:rPr>
          <m:t xml:space="preserve">3</m:t>
        </m:r>
        <m:r>
          <w:rPr>
            <w:rFonts w:ascii="Cambria Math" w:hAnsi="Cambria Math"/>
          </w:rPr>
          <m:t xml:space="preserve">⋅</m:t>
        </m:r>
        <m:r>
          <w:rPr>
            <w:rFonts w:ascii="Cambria Math" w:hAnsi="Cambria Math"/>
          </w:rPr>
          <m:t xml:space="preserve">3</m:t>
        </m:r>
        <m:r>
          <w:rPr>
            <w:rFonts w:ascii="Cambria Math" w:hAnsi="Cambria Math"/>
          </w:rPr>
          <m:t xml:space="preserve">⋅</m:t>
        </m:r>
        <m:r>
          <w:rPr>
            <w:rFonts w:ascii="Cambria Math" w:hAnsi="Cambria Math"/>
          </w:rPr>
          <m:t xml:space="preserve">3</m:t>
        </m:r>
        <m:r>
          <w:rPr>
            <w:rFonts w:ascii="Cambria Math" w:hAnsi="Cambria Math"/>
          </w:rPr>
          <m:t xml:space="preserve">=</m:t>
        </m:r>
        <m:sSup>
          <m:e>
            <m:r>
              <w:rPr>
                <w:rFonts w:ascii="Cambria Math" w:hAnsi="Cambria Math"/>
              </w:rPr>
              <m:t xml:space="preserve">3</m:t>
            </m:r>
          </m:e>
          <m:sup>
            <m:r>
              <w:rPr>
                <w:rFonts w:ascii="Cambria Math" w:hAnsi="Cambria Math"/>
              </w:rPr>
              <m:t xml:space="preserve">3</m:t>
            </m:r>
          </m:sup>
        </m:sSup>
      </m:oMath>
    </w:p>
    <w:p>
      <w:pPr>
        <w:pStyle w:val="Tretekstu"/>
        <w:numPr>
          <w:ilvl w:val="1"/>
          <w:numId w:val="3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Wskazuje podstawę i wykładnik potęgi.</w:t>
      </w:r>
    </w:p>
    <w:p>
      <w:pPr>
        <w:pStyle w:val="Tretekstu"/>
        <w:numPr>
          <w:ilvl w:val="1"/>
          <w:numId w:val="3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 xml:space="preserve">Oblicza wartości prostych potęg o wykładniku naturalnym dla liczb całkowitych, np. 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r>
      <m:oMath xmlns:m="http://schemas.openxmlformats.org/officeDocument/2006/math">
        <m:sSup>
          <m:e>
            <m:r>
              <w:rPr>
                <w:rFonts w:ascii="Cambria Math" w:hAnsi="Cambria Math"/>
              </w:rPr>
              <m:t xml:space="preserve">2</m:t>
            </m:r>
          </m:e>
          <m:sup>
            <m:r>
              <w:rPr>
                <w:rFonts w:ascii="Cambria Math" w:hAnsi="Cambria Math"/>
              </w:rPr>
              <m:t xml:space="preserve">4</m:t>
            </m:r>
          </m:sup>
        </m:sSup>
      </m:oMath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 xml:space="preserve">, 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r>
      <m:oMath xmlns:m="http://schemas.openxmlformats.org/officeDocument/2006/math">
        <m:sSup>
          <m:e>
            <m:d>
              <m:dPr>
                <m:begChr m:val="("/>
                <m:endChr m:val=")"/>
              </m:dPr>
              <m:e>
                <m:r>
                  <w:rPr>
                    <w:rFonts w:ascii="Cambria Math" w:hAnsi="Cambria Math"/>
                  </w:rPr>
                  <m:t xml:space="preserve">−</m:t>
                </m:r>
                <m:r>
                  <w:rPr>
                    <w:rFonts w:ascii="Cambria Math" w:hAnsi="Cambria Math"/>
                  </w:rPr>
                  <m:t xml:space="preserve">3</m:t>
                </m:r>
              </m:e>
            </m:d>
          </m:e>
          <m:sup>
            <m:r>
              <w:rPr>
                <w:rFonts w:ascii="Cambria Math" w:hAnsi="Cambria Math"/>
              </w:rPr>
              <m:t xml:space="preserve">2</m:t>
            </m:r>
          </m:sup>
        </m:sSup>
      </m:oMath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dostateczną (3):</w:t>
      </w:r>
    </w:p>
    <w:p>
      <w:pPr>
        <w:pStyle w:val="Tretekstu"/>
        <w:numPr>
          <w:ilvl w:val="1"/>
          <w:numId w:val="18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Stosuje reguły mnożenia i dzielenia potęg o tych samych podstawach (dodawanie i odejmowanie wykładników).</w:t>
      </w:r>
    </w:p>
    <w:p>
      <w:pPr>
        <w:pStyle w:val="Tretekstu"/>
        <w:numPr>
          <w:ilvl w:val="1"/>
          <w:numId w:val="3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Stosuje regułę potęgowania potęgi (mnożenie wykładników).</w:t>
      </w:r>
    </w:p>
    <w:p>
      <w:pPr>
        <w:pStyle w:val="Tretekstu"/>
        <w:numPr>
          <w:ilvl w:val="1"/>
          <w:numId w:val="3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Oblicza potęgi, w których podstawą jest ułamek zwykły lub dziesiętny.</w:t>
      </w:r>
    </w:p>
    <w:p>
      <w:pPr>
        <w:pStyle w:val="Tretekstu"/>
        <w:numPr>
          <w:ilvl w:val="1"/>
          <w:numId w:val="3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 xml:space="preserve">Zapisuje duże liczby w notacji wykładniczej 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r>
      <m:oMath xmlns:m="http://schemas.openxmlformats.org/officeDocument/2006/math">
        <m:r>
          <w:rPr>
            <w:rFonts w:ascii="Cambria Math" w:hAnsi="Cambria Math"/>
          </w:rPr>
          <m:t xml:space="preserve">a</m:t>
        </m:r>
        <m:r>
          <w:rPr>
            <w:rFonts w:ascii="Cambria Math" w:hAnsi="Cambria Math"/>
          </w:rPr>
          <m:t xml:space="preserve">⋅</m:t>
        </m:r>
        <m:sSup>
          <m:e>
            <m:r>
              <w:rPr>
                <w:rFonts w:ascii="Cambria Math" w:hAnsi="Cambria Math"/>
              </w:rPr>
              <m:t xml:space="preserve">10</m:t>
            </m:r>
          </m:e>
          <m:sup>
            <m:r>
              <w:rPr>
                <w:rFonts w:ascii="Cambria Math" w:hAnsi="Cambria Math"/>
              </w:rPr>
              <m:t xml:space="preserve">k</m:t>
            </m:r>
          </m:sup>
        </m:sSup>
      </m:oMath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 xml:space="preserve">, gdzie 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r>
      <m:oMath xmlns:m="http://schemas.openxmlformats.org/officeDocument/2006/math">
        <m:r>
          <w:rPr>
            <w:rFonts w:ascii="Cambria Math" w:hAnsi="Cambria Math"/>
          </w:rPr>
          <m:t xml:space="preserve">1</m:t>
        </m:r>
        <m:r>
          <w:rPr>
            <w:rFonts w:ascii="Cambria Math" w:hAnsi="Cambria Math"/>
          </w:rPr>
          <m:t xml:space="preserve">≤</m:t>
        </m:r>
        <m:r>
          <w:rPr>
            <w:rFonts w:ascii="Cambria Math" w:hAnsi="Cambria Math"/>
          </w:rPr>
          <m:t xml:space="preserve">a</m:t>
        </m:r>
        <m:r>
          <w:rPr>
            <w:rFonts w:ascii="Cambria Math" w:hAnsi="Cambria Math"/>
          </w:rPr>
          <m:t xml:space="preserve">&lt;</m:t>
        </m:r>
        <m:r>
          <w:rPr>
            <w:rFonts w:ascii="Cambria Math" w:hAnsi="Cambria Math"/>
          </w:rPr>
          <m:t xml:space="preserve">10</m:t>
        </m:r>
      </m:oMath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, a k jest liczbą naturalną.</w:t>
      </w:r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dobrą (4):</w:t>
      </w:r>
    </w:p>
    <w:p>
      <w:pPr>
        <w:pStyle w:val="Tretekstu"/>
        <w:numPr>
          <w:ilvl w:val="1"/>
          <w:numId w:val="19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Stosuje reguły mnożenia i dzielenia potęg o różnych podstawach, ale tych samych wykładnikach.</w:t>
      </w:r>
    </w:p>
    <w:p>
      <w:pPr>
        <w:pStyle w:val="Tretekstu"/>
        <w:numPr>
          <w:ilvl w:val="1"/>
          <w:numId w:val="3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 xml:space="preserve">Przekształca wyrażenia potęgowe tak, aby doprowadzić je do wspólnej podstawy (np. zamienia 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r>
      <m:oMath xmlns:m="http://schemas.openxmlformats.org/officeDocument/2006/math">
        <m:sSup>
          <m:e>
            <m:r>
              <w:rPr>
                <w:rFonts w:ascii="Cambria Math" w:hAnsi="Cambria Math"/>
              </w:rPr>
              <m:t xml:space="preserve">4</m:t>
            </m:r>
          </m:e>
          <m:sup>
            <m:r>
              <w:rPr>
                <w:rFonts w:ascii="Cambria Math" w:hAnsi="Cambria Math"/>
              </w:rPr>
              <m:t xml:space="preserve">3</m:t>
            </m:r>
          </m:sup>
        </m:sSup>
        <m:r>
          <w:rPr>
            <w:rFonts w:ascii="Cambria Math" w:hAnsi="Cambria Math"/>
          </w:rPr>
          <m:t xml:space="preserve">⋅</m:t>
        </m:r>
        <m:sSup>
          <m:e>
            <m:r>
              <w:rPr>
                <w:rFonts w:ascii="Cambria Math" w:hAnsi="Cambria Math"/>
              </w:rPr>
              <m:t xml:space="preserve">8</m:t>
            </m:r>
          </m:e>
          <m:sup>
            <m:r>
              <w:rPr>
                <w:rFonts w:ascii="Cambria Math" w:hAnsi="Cambria Math"/>
              </w:rPr>
              <m:t xml:space="preserve">2</m:t>
            </m:r>
          </m:sup>
        </m:sSup>
      </m:oMath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 xml:space="preserve"> na potęgę liczby 2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)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.</w:t>
      </w:r>
    </w:p>
    <w:p>
      <w:pPr>
        <w:pStyle w:val="Tretekstu"/>
        <w:numPr>
          <w:ilvl w:val="1"/>
          <w:numId w:val="3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Wykonuje działania (mnożenie i dzielenie) na liczbach zapisanych w notacji wykładniczej.</w:t>
      </w:r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bardzo dobrą (5):</w:t>
      </w:r>
    </w:p>
    <w:p>
      <w:pPr>
        <w:pStyle w:val="Tretekstu"/>
        <w:numPr>
          <w:ilvl w:val="1"/>
          <w:numId w:val="20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Sprawnie przekształca skomplikowane i rozbudowane wyrażenia zawierające potęgi, wykorzystując wszystkie pozyskane prawa działań.</w:t>
      </w:r>
    </w:p>
    <w:p>
      <w:pPr>
        <w:pStyle w:val="Tretekstu"/>
        <w:numPr>
          <w:ilvl w:val="1"/>
          <w:numId w:val="3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 xml:space="preserve">Wyłącza wspólny czynnik przed nawias w wyrażeniach z potęgami, np. 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r>
      <m:oMath xmlns:m="http://schemas.openxmlformats.org/officeDocument/2006/math">
        <m:sSup>
          <m:e>
            <m:r>
              <w:rPr>
                <w:rFonts w:ascii="Cambria Math" w:hAnsi="Cambria Math"/>
              </w:rPr>
              <m:t xml:space="preserve">3</m:t>
            </m:r>
          </m:e>
          <m:sup>
            <m:r>
              <w:rPr>
                <w:rFonts w:ascii="Cambria Math" w:hAnsi="Cambria Math"/>
              </w:rPr>
              <m:t xml:space="preserve">10</m:t>
            </m:r>
          </m:sup>
        </m:sSup>
        <m:r>
          <w:rPr>
            <w:rFonts w:ascii="Cambria Math" w:hAnsi="Cambria Math"/>
          </w:rPr>
          <m:t xml:space="preserve">+</m:t>
        </m:r>
        <m:sSup>
          <m:e>
            <m:r>
              <w:rPr>
                <w:rFonts w:ascii="Cambria Math" w:hAnsi="Cambria Math"/>
              </w:rPr>
              <m:t xml:space="preserve">3</m:t>
            </m:r>
          </m:e>
          <m:sup>
            <m:r>
              <w:rPr>
                <w:rFonts w:ascii="Cambria Math" w:hAnsi="Cambria Math"/>
              </w:rPr>
              <m:t xml:space="preserve">9</m:t>
            </m:r>
          </m:sup>
        </m:sSup>
        <m:r>
          <w:rPr>
            <w:rFonts w:ascii="Cambria Math" w:hAnsi="Cambria Math"/>
          </w:rPr>
          <m:t xml:space="preserve">=</m:t>
        </m:r>
        <m:sSup>
          <m:e>
            <m:r>
              <w:rPr>
                <w:rFonts w:ascii="Cambria Math" w:hAnsi="Cambria Math"/>
              </w:rPr>
              <m:t xml:space="preserve">3</m:t>
            </m:r>
          </m:e>
          <m:sup>
            <m:r>
              <w:rPr>
                <w:rFonts w:ascii="Cambria Math" w:hAnsi="Cambria Math"/>
              </w:rPr>
              <m:t xml:space="preserve">9</m:t>
            </m:r>
          </m:sup>
        </m:sSup>
        <m:r>
          <w:rPr>
            <w:rFonts w:ascii="Cambria Math" w:hAnsi="Cambria Math"/>
          </w:rPr>
          <m:t xml:space="preserve">⋅</m:t>
        </m:r>
        <m:d>
          <m:dPr>
            <m:begChr m:val="("/>
            <m:endChr m:val=")"/>
          </m:dPr>
          <m:e>
            <m:r>
              <w:rPr>
                <w:rFonts w:ascii="Cambria Math" w:hAnsi="Cambria Math"/>
              </w:rPr>
              <m:t xml:space="preserve">3</m:t>
            </m:r>
            <m:r>
              <w:rPr>
                <w:rFonts w:ascii="Cambria Math" w:hAnsi="Cambria Math"/>
              </w:rPr>
              <m:t xml:space="preserve">+</m:t>
            </m:r>
            <m:r>
              <w:rPr>
                <w:rFonts w:ascii="Cambria Math" w:hAnsi="Cambria Math"/>
              </w:rPr>
              <m:t xml:space="preserve">1</m:t>
            </m:r>
          </m:e>
        </m:d>
      </m:oMath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.</w:t>
      </w:r>
    </w:p>
    <w:p>
      <w:pPr>
        <w:pStyle w:val="Tretekstu"/>
        <w:numPr>
          <w:ilvl w:val="1"/>
          <w:numId w:val="3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 xml:space="preserve">Porównuje liczby o bardzo dużych wykładnikach bez obliczania ich dokładnej wartości, np. 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r>
      <m:oMath xmlns:m="http://schemas.openxmlformats.org/officeDocument/2006/math">
        <m:sSup>
          <m:e>
            <m:r>
              <w:rPr>
                <w:rFonts w:ascii="Cambria Math" w:hAnsi="Cambria Math"/>
              </w:rPr>
              <m:t xml:space="preserve">2</m:t>
            </m:r>
          </m:e>
          <m:sup>
            <m:r>
              <w:rPr>
                <w:rFonts w:ascii="Cambria Math" w:hAnsi="Cambria Math"/>
              </w:rPr>
              <m:t xml:space="preserve">90</m:t>
            </m:r>
          </m:sup>
        </m:sSup>
        <m:r>
          <w:rPr>
            <w:rFonts w:ascii="Cambria Math" w:hAnsi="Cambria Math"/>
          </w:rPr>
          <m:t xml:space="preserve">i</m:t>
        </m:r>
        <m:sSup>
          <m:e>
            <m:r>
              <w:rPr>
                <w:rFonts w:ascii="Cambria Math" w:hAnsi="Cambria Math"/>
              </w:rPr>
              <m:t xml:space="preserve">3</m:t>
            </m:r>
          </m:e>
          <m:sup>
            <m:r>
              <w:rPr>
                <w:rFonts w:ascii="Cambria Math" w:hAnsi="Cambria Math"/>
              </w:rPr>
              <m:t xml:space="preserve">60</m:t>
            </m:r>
          </m:sup>
        </m:sSup>
      </m:oMath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.</w:t>
      </w:r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celującą (6):</w:t>
      </w:r>
    </w:p>
    <w:p>
      <w:pPr>
        <w:pStyle w:val="Tretekstu"/>
        <w:numPr>
          <w:ilvl w:val="1"/>
          <w:numId w:val="21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Wykorzystuje własności potęg w niestandardowych problemach algebraicznych i zadaniach o charakterze olimpijskim.</w:t>
      </w:r>
    </w:p>
    <w:p>
      <w:pPr>
        <w:pStyle w:val="Liniapozioma"/>
        <w:bidi w:val="0"/>
        <w:spacing w:lineRule="auto" w:line="240"/>
        <w:jc w:val="left"/>
        <w:rPr>
          <w:rFonts w:ascii="Times New Roman" w:hAnsi="Times New Roman"/>
          <w:sz w:val="8"/>
          <w:szCs w:val="8"/>
        </w:rPr>
      </w:pPr>
      <w:r>
        <w:rPr>
          <w:rFonts w:ascii="Times New Roman" w:hAnsi="Times New Roman"/>
          <w:sz w:val="8"/>
          <w:szCs w:val="8"/>
        </w:rPr>
      </w:r>
    </w:p>
    <w:p>
      <w:pPr>
        <w:pStyle w:val="Tretekstu"/>
        <w:bidi w:val="0"/>
        <w:spacing w:lineRule="auto" w:line="240" w:before="360" w:after="180"/>
        <w:ind w:left="0" w:right="0" w:hanging="0"/>
        <w:jc w:val="left"/>
        <w:rPr>
          <w:rFonts w:ascii="Times New Roman" w:hAnsi="Times New Roman"/>
          <w:b/>
          <w:strike w:val="false"/>
          <w:dstrike w:val="false"/>
          <w:sz w:val="26"/>
          <w:szCs w:val="26"/>
          <w:u w:val="none"/>
          <w:effect w:val="none"/>
        </w:rPr>
      </w:pPr>
      <w:r>
        <w:rPr>
          <w:rFonts w:ascii="Times New Roman" w:hAnsi="Times New Roman"/>
          <w:b/>
          <w:strike w:val="false"/>
          <w:dstrike w:val="false"/>
          <w:sz w:val="26"/>
          <w:szCs w:val="26"/>
          <w:u w:val="none"/>
          <w:effect w:val="none"/>
        </w:rPr>
        <w:t>DZIAŁ 4. Pierwiastki</w:t>
      </w:r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dopuszczającą (2):</w:t>
      </w:r>
    </w:p>
    <w:p>
      <w:pPr>
        <w:pStyle w:val="Tretekstu"/>
        <w:numPr>
          <w:ilvl w:val="1"/>
          <w:numId w:val="4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Zna definicję i pojęcie pierwiastka kwadratowego \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r>
      <m:oMath xmlns:m="http://schemas.openxmlformats.org/officeDocument/2006/math">
        <m:rad>
          <m:radPr>
            <m:degHide m:val="1"/>
          </m:radPr>
          <m:deg/>
          <m:e>
            <m:r>
              <w:rPr>
                <w:rFonts w:ascii="Cambria Math" w:hAnsi="Cambria Math"/>
              </w:rPr>
              <m:t xml:space="preserve">a</m:t>
            </m:r>
          </m:e>
        </m:rad>
      </m:oMath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 xml:space="preserve"> oraz sześciennego 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r>
      <m:oMath xmlns:m="http://schemas.openxmlformats.org/officeDocument/2006/math">
        <m:rad>
          <m:deg>
            <m:r>
              <w:rPr>
                <w:rFonts w:ascii="Cambria Math" w:hAnsi="Cambria Math"/>
              </w:rPr>
              <m:t xml:space="preserve">3</m:t>
            </m:r>
          </m:deg>
          <m:e>
            <m:r>
              <w:rPr>
                <w:rFonts w:ascii="Cambria Math" w:hAnsi="Cambria Math"/>
              </w:rPr>
              <m:t xml:space="preserve">a</m:t>
            </m:r>
          </m:e>
        </m:rad>
      </m:oMath>
    </w:p>
    <w:p>
      <w:pPr>
        <w:pStyle w:val="Tretekstu"/>
        <w:numPr>
          <w:ilvl w:val="1"/>
          <w:numId w:val="4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 xml:space="preserve">Oblicza pierwiastki z małych, łatwych liczb, np. 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r>
      <m:oMath xmlns:m="http://schemas.openxmlformats.org/officeDocument/2006/math">
        <m:rad>
          <m:radPr>
            <m:degHide m:val="1"/>
          </m:radPr>
          <m:deg/>
          <m:e>
            <m:r>
              <w:rPr>
                <w:rFonts w:ascii="Cambria Math" w:hAnsi="Cambria Math"/>
              </w:rPr>
              <m:t xml:space="preserve">36</m:t>
            </m:r>
          </m:e>
        </m:rad>
        <m:r>
          <w:rPr>
            <w:rFonts w:ascii="Cambria Math" w:hAnsi="Cambria Math"/>
          </w:rPr>
          <m:t xml:space="preserve">=</m:t>
        </m:r>
        <m:r>
          <w:rPr>
            <w:rFonts w:ascii="Cambria Math" w:hAnsi="Cambria Math"/>
          </w:rPr>
          <m:t xml:space="preserve">6</m:t>
        </m:r>
      </m:oMath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 xml:space="preserve">, 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r>
      <m:oMath xmlns:m="http://schemas.openxmlformats.org/officeDocument/2006/math">
        <m:rad>
          <m:deg>
            <m:r>
              <w:rPr>
                <w:rFonts w:ascii="Cambria Math" w:hAnsi="Cambria Math"/>
              </w:rPr>
              <m:t xml:space="preserve">3</m:t>
            </m:r>
          </m:deg>
          <m:e>
            <m:r>
              <w:rPr>
                <w:rFonts w:ascii="Cambria Math" w:hAnsi="Cambria Math"/>
              </w:rPr>
              <m:t xml:space="preserve">27</m:t>
            </m:r>
          </m:e>
        </m:rad>
        <m:r>
          <w:rPr>
            <w:rFonts w:ascii="Cambria Math" w:hAnsi="Cambria Math"/>
          </w:rPr>
          <m:t xml:space="preserve">=</m:t>
        </m:r>
        <m:r>
          <w:rPr>
            <w:rFonts w:ascii="Cambria Math" w:hAnsi="Cambria Math"/>
          </w:rPr>
          <m:t xml:space="preserve">3</m:t>
        </m:r>
      </m:oMath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dostateczną (3):</w:t>
      </w:r>
    </w:p>
    <w:p>
      <w:pPr>
        <w:pStyle w:val="Tretekstu"/>
        <w:numPr>
          <w:ilvl w:val="1"/>
          <w:numId w:val="22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Oblicza pierwiastki z prostych ułamków zwykłych i dziesiętnych, np. \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r>
      <m:oMath xmlns:m="http://schemas.openxmlformats.org/officeDocument/2006/math">
        <m:rad>
          <m:radPr>
            <m:degHide m:val="1"/>
          </m:radPr>
          <m:deg/>
          <m:e>
            <m:r>
              <w:rPr>
                <w:rFonts w:ascii="Cambria Math" w:hAnsi="Cambria Math"/>
              </w:rPr>
              <m:t xml:space="preserve">0,16</m:t>
            </m:r>
          </m:e>
        </m:rad>
      </m:oMath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 xml:space="preserve">, 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r>
      <m:oMath xmlns:m="http://schemas.openxmlformats.org/officeDocument/2006/math">
        <m:rad>
          <m:radPr>
            <m:degHide m:val="1"/>
          </m:radPr>
          <m:deg/>
          <m:e>
            <m:f>
              <m:num>
                <m:r>
                  <w:rPr>
                    <w:rFonts w:ascii="Cambria Math" w:hAnsi="Cambria Math"/>
                  </w:rPr>
                  <m:t xml:space="preserve">4</m:t>
                </m:r>
              </m:num>
              <m:den>
                <m:r>
                  <w:rPr>
                    <w:rFonts w:ascii="Cambria Math" w:hAnsi="Cambria Math"/>
                  </w:rPr>
                  <m:t xml:space="preserve">9</m:t>
                </m:r>
              </m:den>
            </m:f>
          </m:e>
        </m:rad>
      </m:oMath>
    </w:p>
    <w:p>
      <w:pPr>
        <w:pStyle w:val="Tretekstu"/>
        <w:numPr>
          <w:ilvl w:val="1"/>
          <w:numId w:val="4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Stosuje regułę pierwiastka z iloczynu i ilorazu \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r>
      <m:oMath xmlns:m="http://schemas.openxmlformats.org/officeDocument/2006/math">
        <m:rad>
          <m:radPr>
            <m:degHide m:val="1"/>
          </m:radPr>
          <m:deg/>
          <m:e>
            <m:r>
              <w:rPr>
                <w:rFonts w:ascii="Cambria Math" w:hAnsi="Cambria Math"/>
              </w:rPr>
              <m:t xml:space="preserve">a</m:t>
            </m:r>
            <m:r>
              <w:rPr>
                <w:rFonts w:ascii="Cambria Math" w:hAnsi="Cambria Math"/>
              </w:rPr>
              <m:t xml:space="preserve">⋅</m:t>
            </m:r>
            <m:r>
              <w:rPr>
                <w:rFonts w:ascii="Cambria Math" w:hAnsi="Cambria Math"/>
              </w:rPr>
              <m:t xml:space="preserve">b</m:t>
            </m:r>
          </m:e>
        </m:rad>
        <m:r>
          <w:rPr>
            <w:rFonts w:ascii="Cambria Math" w:hAnsi="Cambria Math"/>
          </w:rPr>
          <m:t xml:space="preserve">=</m:t>
        </m:r>
        <m:rad>
          <m:radPr>
            <m:degHide m:val="1"/>
          </m:radPr>
          <m:deg/>
          <m:e>
            <m:r>
              <w:rPr>
                <w:rFonts w:ascii="Cambria Math" w:hAnsi="Cambria Math"/>
              </w:rPr>
              <m:t xml:space="preserve">a</m:t>
            </m:r>
          </m:e>
        </m:rad>
        <m:r>
          <w:rPr>
            <w:rFonts w:ascii="Cambria Math" w:hAnsi="Cambria Math"/>
          </w:rPr>
          <m:t xml:space="preserve">⋅</m:t>
        </m:r>
        <m:rad>
          <m:radPr>
            <m:degHide m:val="1"/>
          </m:radPr>
          <m:deg/>
          <m:e>
            <m:r>
              <w:rPr>
                <w:rFonts w:ascii="Cambria Math" w:hAnsi="Cambria Math"/>
              </w:rPr>
              <m:t xml:space="preserve">b</m:t>
            </m:r>
          </m:e>
        </m:rad>
      </m:oMath>
    </w:p>
    <w:p>
      <w:pPr>
        <w:pStyle w:val="Tretekstu"/>
        <w:numPr>
          <w:ilvl w:val="1"/>
          <w:numId w:val="4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Wyłącza czynnik przed znak pierwiastka w łatwych przypadkach, np. \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r>
      <m:oMath xmlns:m="http://schemas.openxmlformats.org/officeDocument/2006/math">
        <m:rad>
          <m:radPr>
            <m:degHide m:val="1"/>
          </m:radPr>
          <m:deg/>
          <m:e>
            <m:r>
              <w:rPr>
                <w:rFonts w:ascii="Cambria Math" w:hAnsi="Cambria Math"/>
              </w:rPr>
              <m:t xml:space="preserve">8</m:t>
            </m:r>
          </m:e>
        </m:rad>
        <m:r>
          <w:rPr>
            <w:rFonts w:ascii="Cambria Math" w:hAnsi="Cambria Math"/>
          </w:rPr>
          <m:t xml:space="preserve">=</m:t>
        </m:r>
        <m:r>
          <w:rPr>
            <w:rFonts w:ascii="Cambria Math" w:hAnsi="Cambria Math"/>
          </w:rPr>
          <m:t xml:space="preserve">2</m:t>
        </m:r>
        <m:rad>
          <m:radPr>
            <m:degHide m:val="1"/>
          </m:radPr>
          <m:deg/>
          <m:e>
            <m:r>
              <w:rPr>
                <w:rFonts w:ascii="Cambria Math" w:hAnsi="Cambria Math"/>
              </w:rPr>
              <m:t xml:space="preserve">2</m:t>
            </m:r>
          </m:e>
        </m:rad>
      </m:oMath>
    </w:p>
    <w:p>
      <w:pPr>
        <w:pStyle w:val="Tretekstu"/>
        <w:numPr>
          <w:ilvl w:val="1"/>
          <w:numId w:val="4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 xml:space="preserve">Szacuje wartość liczbową pierwiastka, wskazując dwie sąsiednie liczby całkowite, między którymi się znajduje, np. 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r>
      <m:oMath xmlns:m="http://schemas.openxmlformats.org/officeDocument/2006/math">
        <m:r>
          <w:rPr>
            <w:rFonts w:ascii="Cambria Math" w:hAnsi="Cambria Math"/>
          </w:rPr>
          <m:t xml:space="preserve">3</m:t>
        </m:r>
        <m:r>
          <w:rPr>
            <w:rFonts w:ascii="Cambria Math" w:hAnsi="Cambria Math"/>
          </w:rPr>
          <m:t xml:space="preserve">&lt;</m:t>
        </m:r>
        <m:rad>
          <m:radPr>
            <m:degHide m:val="1"/>
          </m:radPr>
          <m:deg/>
          <m:e>
            <m:r>
              <w:rPr>
                <w:rFonts w:ascii="Cambria Math" w:hAnsi="Cambria Math"/>
              </w:rPr>
              <m:t xml:space="preserve">10</m:t>
            </m:r>
          </m:e>
        </m:rad>
        <m:r>
          <w:rPr>
            <w:rFonts w:ascii="Cambria Math" w:hAnsi="Cambria Math"/>
          </w:rPr>
          <m:t xml:space="preserve">&lt;</m:t>
        </m:r>
        <m:r>
          <w:rPr>
            <w:rFonts w:ascii="Cambria Math" w:hAnsi="Cambria Math"/>
          </w:rPr>
          <m:t xml:space="preserve">4</m:t>
        </m:r>
      </m:oMath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dobrą (4):</w:t>
      </w:r>
    </w:p>
    <w:p>
      <w:pPr>
        <w:pStyle w:val="Tretekstu"/>
        <w:numPr>
          <w:ilvl w:val="1"/>
          <w:numId w:val="23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 xml:space="preserve">Wykonuje bardziej złożone działania na pierwiastkach, np. redukuje wyrazy podobne, jak 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r>
      <m:oMath xmlns:m="http://schemas.openxmlformats.org/officeDocument/2006/math">
        <m:r>
          <w:rPr>
            <w:rFonts w:ascii="Cambria Math" w:hAnsi="Cambria Math"/>
          </w:rPr>
          <m:t xml:space="preserve">3</m:t>
        </m:r>
        <m:rad>
          <m:radPr>
            <m:degHide m:val="1"/>
          </m:radPr>
          <m:deg/>
          <m:e>
            <m:r>
              <w:rPr>
                <w:rFonts w:ascii="Cambria Math" w:hAnsi="Cambria Math"/>
              </w:rPr>
              <m:t xml:space="preserve">5</m:t>
            </m:r>
          </m:e>
        </m:rad>
        <m:r>
          <w:rPr>
            <w:rFonts w:ascii="Cambria Math" w:hAnsi="Cambria Math"/>
          </w:rPr>
          <m:t xml:space="preserve">+</m:t>
        </m:r>
        <m:r>
          <w:rPr>
            <w:rFonts w:ascii="Cambria Math" w:hAnsi="Cambria Math"/>
          </w:rPr>
          <m:t xml:space="preserve">2</m:t>
        </m:r>
        <m:rad>
          <m:radPr>
            <m:degHide m:val="1"/>
          </m:radPr>
          <m:deg/>
          <m:e>
            <m:r>
              <w:rPr>
                <w:rFonts w:ascii="Cambria Math" w:hAnsi="Cambria Math"/>
              </w:rPr>
              <m:t xml:space="preserve">5</m:t>
            </m:r>
          </m:e>
        </m:rad>
        <m:r>
          <w:rPr>
            <w:rFonts w:ascii="Cambria Math" w:hAnsi="Cambria Math"/>
          </w:rPr>
          <m:t xml:space="preserve">=</m:t>
        </m:r>
        <m:r>
          <w:rPr>
            <w:rFonts w:ascii="Cambria Math" w:hAnsi="Cambria Math"/>
          </w:rPr>
          <m:t xml:space="preserve">5</m:t>
        </m:r>
        <m:rad>
          <m:radPr>
            <m:degHide m:val="1"/>
          </m:radPr>
          <m:deg/>
          <m:e>
            <m:r>
              <w:rPr>
                <w:rFonts w:ascii="Cambria Math" w:hAnsi="Cambria Math"/>
              </w:rPr>
              <m:t xml:space="preserve">5</m:t>
            </m:r>
          </m:e>
        </m:rad>
      </m:oMath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 xml:space="preserve">, 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także z wyłączaniem czynników przed znak pierwiastka</w:t>
      </w:r>
    </w:p>
    <w:p>
      <w:pPr>
        <w:pStyle w:val="Tretekstu"/>
        <w:numPr>
          <w:ilvl w:val="1"/>
          <w:numId w:val="4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Wyłącza i w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 xml:space="preserve">łącza czynnik pod znak pierwiastka, np. 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r>
      <m:oMath xmlns:m="http://schemas.openxmlformats.org/officeDocument/2006/math">
        <m:r>
          <w:rPr>
            <w:rFonts w:ascii="Cambria Math" w:hAnsi="Cambria Math"/>
          </w:rPr>
          <m:t xml:space="preserve">3</m:t>
        </m:r>
        <m:rad>
          <m:radPr>
            <m:degHide m:val="1"/>
          </m:radPr>
          <m:deg/>
          <m:e>
            <m:r>
              <w:rPr>
                <w:rFonts w:ascii="Cambria Math" w:hAnsi="Cambria Math"/>
              </w:rPr>
              <m:t xml:space="preserve">2</m:t>
            </m:r>
          </m:e>
        </m:rad>
        <m:r>
          <w:rPr>
            <w:rFonts w:ascii="Cambria Math" w:hAnsi="Cambria Math"/>
          </w:rPr>
          <m:t xml:space="preserve">=</m:t>
        </m:r>
        <m:rad>
          <m:radPr>
            <m:degHide m:val="1"/>
          </m:radPr>
          <m:deg/>
          <m:e>
            <m:r>
              <w:rPr>
                <w:rFonts w:ascii="Cambria Math" w:hAnsi="Cambria Math"/>
              </w:rPr>
              <m:t xml:space="preserve">18</m:t>
            </m:r>
          </m:e>
        </m:rad>
      </m:oMath>
    </w:p>
    <w:p>
      <w:pPr>
        <w:pStyle w:val="Tretekstu"/>
        <w:numPr>
          <w:ilvl w:val="1"/>
          <w:numId w:val="4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 xml:space="preserve">Usuwa niewymierność z mianownika w prostych ułamkach typu 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r>
      <m:oMath xmlns:m="http://schemas.openxmlformats.org/officeDocument/2006/math">
        <m:f>
          <m:num>
            <m:r>
              <w:rPr>
                <w:rFonts w:ascii="Cambria Math" w:hAnsi="Cambria Math"/>
              </w:rPr>
              <m:t xml:space="preserve">2</m:t>
            </m:r>
          </m:num>
          <m:den>
            <m:rad>
              <m:radPr>
                <m:degHide m:val="1"/>
              </m:radPr>
              <m:deg/>
              <m:e>
                <m:r>
                  <w:rPr>
                    <w:rFonts w:ascii="Cambria Math" w:hAnsi="Cambria Math"/>
                  </w:rPr>
                  <m:t xml:space="preserve">3</m:t>
                </m:r>
              </m:e>
            </m:rad>
          </m:den>
        </m:f>
      </m:oMath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bardzo dobrą (5):</w:t>
      </w:r>
    </w:p>
    <w:p>
      <w:pPr>
        <w:pStyle w:val="Tretekstu"/>
        <w:numPr>
          <w:ilvl w:val="1"/>
          <w:numId w:val="24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Wykonuje wieloetapowe działania łączące własności potęg i pierwiastków w trudnych wyrażeniach arytmetycznych.</w:t>
      </w:r>
    </w:p>
    <w:p>
      <w:pPr>
        <w:pStyle w:val="Tretekstu"/>
        <w:numPr>
          <w:ilvl w:val="1"/>
          <w:numId w:val="4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Rozwiązuje zadania z treścią, w których dane wejściowe lub wyniki końcowe wymagają zaawansowanego przekształcania pierwiastków.</w:t>
      </w:r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celującą (6):</w:t>
      </w:r>
    </w:p>
    <w:p>
      <w:pPr>
        <w:pStyle w:val="Tretekstu"/>
        <w:numPr>
          <w:ilvl w:val="1"/>
          <w:numId w:val="25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Wykazuje się biegłością w zadaniach wymagających głębokiego zrozumienia własności pierwiastków (np. zadania z pierwiastkami uwikłanymi w równania wyższych stopni).</w:t>
      </w:r>
    </w:p>
    <w:p>
      <w:pPr>
        <w:pStyle w:val="Liniapozioma"/>
        <w:bidi w:val="0"/>
        <w:spacing w:lineRule="auto" w:line="240"/>
        <w:jc w:val="left"/>
        <w:rPr>
          <w:rFonts w:ascii="Times New Roman" w:hAnsi="Times New Roman"/>
          <w:sz w:val="8"/>
          <w:szCs w:val="8"/>
        </w:rPr>
      </w:pPr>
      <w:r>
        <w:rPr>
          <w:rFonts w:ascii="Times New Roman" w:hAnsi="Times New Roman"/>
          <w:sz w:val="8"/>
          <w:szCs w:val="8"/>
        </w:rPr>
      </w:r>
    </w:p>
    <w:p>
      <w:pPr>
        <w:pStyle w:val="Tretekstu"/>
        <w:bidi w:val="0"/>
        <w:spacing w:lineRule="auto" w:line="240" w:before="360" w:after="180"/>
        <w:ind w:left="0" w:right="0" w:hanging="0"/>
        <w:jc w:val="left"/>
        <w:rPr>
          <w:rFonts w:ascii="Times New Roman" w:hAnsi="Times New Roman"/>
          <w:b/>
          <w:strike w:val="false"/>
          <w:dstrike w:val="false"/>
          <w:sz w:val="26"/>
          <w:szCs w:val="26"/>
          <w:u w:val="none"/>
          <w:effect w:val="none"/>
        </w:rPr>
      </w:pPr>
      <w:r>
        <w:rPr>
          <w:rFonts w:ascii="Times New Roman" w:hAnsi="Times New Roman"/>
          <w:b/>
          <w:strike w:val="false"/>
          <w:dstrike w:val="false"/>
          <w:sz w:val="26"/>
          <w:szCs w:val="26"/>
          <w:u w:val="none"/>
          <w:effect w:val="none"/>
        </w:rPr>
        <w:t>DZIAŁ 5. Wyrażenia algebraiczne</w:t>
      </w:r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dopuszczającą (2):</w:t>
      </w:r>
    </w:p>
    <w:p>
      <w:pPr>
        <w:pStyle w:val="Tretekstu"/>
        <w:numPr>
          <w:ilvl w:val="1"/>
          <w:numId w:val="5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Rozpoznaje wyrażenia algebraiczne oraz wskazuje w nich litery i liczby.</w:t>
      </w:r>
    </w:p>
    <w:p>
      <w:pPr>
        <w:pStyle w:val="Tretekstu"/>
        <w:numPr>
          <w:ilvl w:val="1"/>
          <w:numId w:val="5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Nazywa podstawowe wyrażenia, np. suma, różnica, iloczyn, jednomian.</w:t>
      </w:r>
    </w:p>
    <w:p>
      <w:pPr>
        <w:pStyle w:val="Tretekstu"/>
        <w:numPr>
          <w:ilvl w:val="1"/>
          <w:numId w:val="5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Wskazuje współczynnik liczbowy jednomianu, np. w jednomianie 5xy współczynnikiem jest 5.</w:t>
      </w:r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dostateczną (3):</w:t>
      </w:r>
    </w:p>
    <w:p>
      <w:pPr>
        <w:pStyle w:val="Tretekstu"/>
        <w:numPr>
          <w:ilvl w:val="1"/>
          <w:numId w:val="5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 xml:space="preserve">Porządkuje jednomiany, np. 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r>
      <m:oMath xmlns:m="http://schemas.openxmlformats.org/officeDocument/2006/math">
        <m:r>
          <w:rPr>
            <w:rFonts w:ascii="Cambria Math" w:hAnsi="Cambria Math"/>
          </w:rPr>
          <m:t xml:space="preserve">2</m:t>
        </m:r>
        <m:r>
          <w:rPr>
            <w:rFonts w:ascii="Cambria Math" w:hAnsi="Cambria Math"/>
          </w:rPr>
          <m:t xml:space="preserve">x</m:t>
        </m:r>
        <m:r>
          <w:rPr>
            <w:rFonts w:ascii="Cambria Math" w:hAnsi="Cambria Math"/>
          </w:rPr>
          <m:t xml:space="preserve">⋅</m:t>
        </m:r>
        <m:r>
          <w:rPr>
            <w:rFonts w:ascii="Cambria Math" w:hAnsi="Cambria Math"/>
          </w:rPr>
          <m:t xml:space="preserve">3</m:t>
        </m:r>
        <m:r>
          <w:rPr>
            <w:rFonts w:ascii="Cambria Math" w:hAnsi="Cambria Math"/>
          </w:rPr>
          <m:t xml:space="preserve">y</m:t>
        </m:r>
        <m:r>
          <w:rPr>
            <w:rFonts w:ascii="Cambria Math" w:hAnsi="Cambria Math"/>
          </w:rPr>
          <m:t xml:space="preserve">=</m:t>
        </m:r>
        <m:r>
          <w:rPr>
            <w:rFonts w:ascii="Cambria Math" w:hAnsi="Cambria Math"/>
          </w:rPr>
          <m:t xml:space="preserve">6</m:t>
        </m:r>
        <m:r>
          <w:rPr>
            <w:rFonts w:ascii="Cambria Math" w:hAnsi="Cambria Math"/>
          </w:rPr>
          <m:t xml:space="preserve">xy</m:t>
        </m:r>
      </m:oMath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.</w:t>
      </w:r>
    </w:p>
    <w:p>
      <w:pPr>
        <w:pStyle w:val="Tretekstu"/>
        <w:numPr>
          <w:ilvl w:val="1"/>
          <w:numId w:val="5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 xml:space="preserve">Rozpoznaje wyrazy podobne i dokonuje ich redukcji w prostych sumach algebraicznych, np. 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r>
      <m:oMath xmlns:m="http://schemas.openxmlformats.org/officeDocument/2006/math">
        <m:r>
          <w:rPr>
            <w:rFonts w:ascii="Cambria Math" w:hAnsi="Cambria Math"/>
          </w:rPr>
          <m:t xml:space="preserve">3</m:t>
        </m:r>
        <m:r>
          <w:rPr>
            <w:rFonts w:ascii="Cambria Math" w:hAnsi="Cambria Math"/>
          </w:rPr>
          <m:t xml:space="preserve">x</m:t>
        </m:r>
        <m:r>
          <w:rPr>
            <w:rFonts w:ascii="Cambria Math" w:hAnsi="Cambria Math"/>
          </w:rPr>
          <m:t xml:space="preserve">+</m:t>
        </m:r>
        <m:r>
          <w:rPr>
            <w:rFonts w:ascii="Cambria Math" w:hAnsi="Cambria Math"/>
          </w:rPr>
          <m:t xml:space="preserve">2</m:t>
        </m:r>
        <m:r>
          <w:rPr>
            <w:rFonts w:ascii="Cambria Math" w:hAnsi="Cambria Math"/>
          </w:rPr>
          <m:t xml:space="preserve">y</m:t>
        </m:r>
        <m:r>
          <w:rPr>
            <w:rFonts w:ascii="Cambria Math" w:hAnsi="Cambria Math"/>
          </w:rPr>
          <m:t xml:space="preserve">−</m:t>
        </m:r>
        <m:r>
          <w:rPr>
            <w:rFonts w:ascii="Cambria Math" w:hAnsi="Cambria Math"/>
          </w:rPr>
          <m:t xml:space="preserve">x</m:t>
        </m:r>
        <m:r>
          <w:rPr>
            <w:rFonts w:ascii="Cambria Math" w:hAnsi="Cambria Math"/>
          </w:rPr>
          <m:t xml:space="preserve">+</m:t>
        </m:r>
        <m:r>
          <w:rPr>
            <w:rFonts w:ascii="Cambria Math" w:hAnsi="Cambria Math"/>
          </w:rPr>
          <m:t xml:space="preserve">4</m:t>
        </m:r>
        <m:r>
          <w:rPr>
            <w:rFonts w:ascii="Cambria Math" w:hAnsi="Cambria Math"/>
          </w:rPr>
          <m:t xml:space="preserve">y</m:t>
        </m:r>
        <m:r>
          <w:rPr>
            <w:rFonts w:ascii="Cambria Math" w:hAnsi="Cambria Math"/>
          </w:rPr>
          <m:t xml:space="preserve">=</m:t>
        </m:r>
        <m:r>
          <w:rPr>
            <w:rFonts w:ascii="Cambria Math" w:hAnsi="Cambria Math"/>
          </w:rPr>
          <m:t xml:space="preserve">2</m:t>
        </m:r>
        <m:r>
          <w:rPr>
            <w:rFonts w:ascii="Cambria Math" w:hAnsi="Cambria Math"/>
          </w:rPr>
          <m:t xml:space="preserve">x</m:t>
        </m:r>
        <m:r>
          <w:rPr>
            <w:rFonts w:ascii="Cambria Math" w:hAnsi="Cambria Math"/>
          </w:rPr>
          <m:t xml:space="preserve">+</m:t>
        </m:r>
        <m:r>
          <w:rPr>
            <w:rFonts w:ascii="Cambria Math" w:hAnsi="Cambria Math"/>
          </w:rPr>
          <m:t xml:space="preserve">6</m:t>
        </m:r>
        <m:r>
          <w:rPr>
            <w:rFonts w:ascii="Cambria Math" w:hAnsi="Cambria Math"/>
          </w:rPr>
          <m:t xml:space="preserve">y</m:t>
        </m:r>
      </m:oMath>
    </w:p>
    <w:p>
      <w:pPr>
        <w:pStyle w:val="Tretekstu"/>
        <w:numPr>
          <w:ilvl w:val="1"/>
          <w:numId w:val="5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Oblicza wartość liczbową wyrażenia algebraicznego po podstawieniu danych liczb w miejsce liter.</w:t>
      </w:r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dobrą (4):</w:t>
      </w:r>
    </w:p>
    <w:p>
      <w:pPr>
        <w:pStyle w:val="Tretekstu"/>
        <w:numPr>
          <w:ilvl w:val="1"/>
          <w:numId w:val="26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 xml:space="preserve">Mnoży jednomian przez sumę algebraiczną - opuszczanie nawiasów, np. 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r>
      <m:oMath xmlns:m="http://schemas.openxmlformats.org/officeDocument/2006/math">
        <m:r>
          <w:rPr>
            <w:rFonts w:ascii="Cambria Math" w:hAnsi="Cambria Math"/>
          </w:rPr>
          <m:t xml:space="preserve">2</m:t>
        </m:r>
        <m:r>
          <w:rPr>
            <w:rFonts w:ascii="Cambria Math" w:hAnsi="Cambria Math"/>
          </w:rPr>
          <m:t xml:space="preserve">x</m:t>
        </m:r>
        <m:d>
          <m:dPr>
            <m:begChr m:val="("/>
            <m:endChr m:val=")"/>
          </m:dPr>
          <m:e>
            <m:r>
              <w:rPr>
                <w:rFonts w:ascii="Cambria Math" w:hAnsi="Cambria Math"/>
              </w:rPr>
              <m:t xml:space="preserve">x</m:t>
            </m:r>
            <m:r>
              <w:rPr>
                <w:rFonts w:ascii="Cambria Math" w:hAnsi="Cambria Math"/>
              </w:rPr>
              <m:t xml:space="preserve">−</m:t>
            </m:r>
            <m:r>
              <w:rPr>
                <w:rFonts w:ascii="Cambria Math" w:hAnsi="Cambria Math"/>
              </w:rPr>
              <m:t xml:space="preserve">3</m:t>
            </m:r>
          </m:e>
        </m:d>
        <m:r>
          <w:rPr>
            <w:rFonts w:ascii="Cambria Math" w:hAnsi="Cambria Math"/>
          </w:rPr>
          <m:t xml:space="preserve">=</m:t>
        </m:r>
        <m:r>
          <w:rPr>
            <w:rFonts w:ascii="Cambria Math" w:hAnsi="Cambria Math"/>
          </w:rPr>
          <m:t xml:space="preserve">2</m:t>
        </m:r>
        <m:sSup>
          <m:e>
            <m:r>
              <w:rPr>
                <w:rFonts w:ascii="Cambria Math" w:hAnsi="Cambria Math"/>
              </w:rPr>
              <m:t xml:space="preserve">x</m:t>
            </m:r>
          </m:e>
          <m:sup>
            <m:r>
              <w:rPr>
                <w:rFonts w:ascii="Cambria Math" w:hAnsi="Cambria Math"/>
              </w:rPr>
              <m:t xml:space="preserve">2</m:t>
            </m:r>
          </m:sup>
        </m:sSup>
        <m:r>
          <w:rPr>
            <w:rFonts w:ascii="Cambria Math" w:hAnsi="Cambria Math"/>
          </w:rPr>
          <m:t xml:space="preserve">−</m:t>
        </m:r>
        <m:r>
          <w:rPr>
            <w:rFonts w:ascii="Cambria Math" w:hAnsi="Cambria Math"/>
          </w:rPr>
          <m:t xml:space="preserve">6</m:t>
        </m:r>
        <m:r>
          <w:rPr>
            <w:rFonts w:ascii="Cambria Math" w:hAnsi="Cambria Math"/>
          </w:rPr>
          <m:t xml:space="preserve">x</m:t>
        </m:r>
      </m:oMath>
    </w:p>
    <w:p>
      <w:pPr>
        <w:pStyle w:val="Tretekstu"/>
        <w:numPr>
          <w:ilvl w:val="1"/>
          <w:numId w:val="5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Dodaje i odejmuje rozbudowane sumy algebraiczne w nawiasach (pamięta o zmianie znaków przy odejmowaniu).</w:t>
      </w:r>
    </w:p>
    <w:p>
      <w:pPr>
        <w:pStyle w:val="Tretekstu"/>
        <w:numPr>
          <w:ilvl w:val="1"/>
          <w:numId w:val="5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 xml:space="preserve">Mnoży dwie proste sumy algebraiczne przez siebie - metodą „każdy przez każdy”, np. 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r>
      <m:oMath xmlns:m="http://schemas.openxmlformats.org/officeDocument/2006/math">
        <m:d>
          <m:dPr>
            <m:begChr m:val="("/>
            <m:endChr m:val=")"/>
          </m:dPr>
          <m:e>
            <m:r>
              <w:rPr>
                <w:rFonts w:ascii="Cambria Math" w:hAnsi="Cambria Math"/>
              </w:rPr>
              <m:t xml:space="preserve">x</m:t>
            </m:r>
            <m:r>
              <w:rPr>
                <w:rFonts w:ascii="Cambria Math" w:hAnsi="Cambria Math"/>
              </w:rPr>
              <m:t xml:space="preserve">+</m:t>
            </m:r>
            <m:r>
              <w:rPr>
                <w:rFonts w:ascii="Cambria Math" w:hAnsi="Cambria Math"/>
              </w:rPr>
              <m:t xml:space="preserve">2</m:t>
            </m:r>
          </m:e>
        </m:d>
        <m:d>
          <m:dPr>
            <m:begChr m:val="("/>
            <m:endChr m:val=")"/>
          </m:dPr>
          <m:e>
            <m:r>
              <w:rPr>
                <w:rFonts w:ascii="Cambria Math" w:hAnsi="Cambria Math"/>
              </w:rPr>
              <m:t xml:space="preserve">y</m:t>
            </m:r>
            <m:r>
              <w:rPr>
                <w:rFonts w:ascii="Cambria Math" w:hAnsi="Cambria Math"/>
              </w:rPr>
              <m:t xml:space="preserve">−</m:t>
            </m:r>
            <m:r>
              <w:rPr>
                <w:rFonts w:ascii="Cambria Math" w:hAnsi="Cambria Math"/>
              </w:rPr>
              <m:t xml:space="preserve">3</m:t>
            </m:r>
          </m:e>
        </m:d>
      </m:oMath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bardzo dobrą (5):</w:t>
      </w:r>
    </w:p>
    <w:p>
      <w:pPr>
        <w:pStyle w:val="Tretekstu"/>
        <w:numPr>
          <w:ilvl w:val="1"/>
          <w:numId w:val="27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Przekształca skomplikowane struktury algebraiczne do najprostszej postaci, bezbłędnie operując znakami i potęgami zmiennych.</w:t>
      </w:r>
    </w:p>
    <w:p>
      <w:pPr>
        <w:pStyle w:val="Tretekstu"/>
        <w:numPr>
          <w:ilvl w:val="1"/>
          <w:numId w:val="5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Zapisuje za pomocą wyrażeń algebraicznych złożone zależności opisane w zadaniach tekstowych.</w:t>
      </w:r>
    </w:p>
    <w:p>
      <w:pPr>
        <w:pStyle w:val="Tretekstu"/>
        <w:numPr>
          <w:ilvl w:val="1"/>
          <w:numId w:val="5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Wyłącza wspólną strukturę (lub jednomian) przed nawias z rozbudowanej sumy algebraicznej.</w:t>
      </w:r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celującą (6):</w:t>
      </w:r>
    </w:p>
    <w:p>
      <w:pPr>
        <w:pStyle w:val="Tretekstu"/>
        <w:numPr>
          <w:ilvl w:val="1"/>
          <w:numId w:val="28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W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ykonuje trudne dowody o charakterze algebraicznym.</w:t>
      </w:r>
    </w:p>
    <w:p>
      <w:pPr>
        <w:pStyle w:val="Liniapozioma"/>
        <w:bidi w:val="0"/>
        <w:spacing w:lineRule="auto" w:line="240"/>
        <w:jc w:val="left"/>
        <w:rPr>
          <w:rFonts w:ascii="Times New Roman" w:hAnsi="Times New Roman"/>
          <w:sz w:val="8"/>
          <w:szCs w:val="8"/>
        </w:rPr>
      </w:pPr>
      <w:r>
        <w:rPr>
          <w:rFonts w:ascii="Times New Roman" w:hAnsi="Times New Roman"/>
          <w:sz w:val="8"/>
          <w:szCs w:val="8"/>
        </w:rPr>
      </w:r>
    </w:p>
    <w:p>
      <w:pPr>
        <w:pStyle w:val="Tretekstu"/>
        <w:bidi w:val="0"/>
        <w:spacing w:lineRule="auto" w:line="240" w:before="360" w:after="180"/>
        <w:ind w:left="0" w:right="0" w:hanging="0"/>
        <w:jc w:val="left"/>
        <w:rPr>
          <w:rFonts w:ascii="Times New Roman" w:hAnsi="Times New Roman"/>
          <w:b/>
          <w:strike w:val="false"/>
          <w:dstrike w:val="false"/>
          <w:sz w:val="26"/>
          <w:szCs w:val="26"/>
          <w:u w:val="none"/>
          <w:effect w:val="none"/>
        </w:rPr>
      </w:pPr>
      <w:r>
        <w:rPr>
          <w:rFonts w:ascii="Times New Roman" w:hAnsi="Times New Roman"/>
          <w:b/>
          <w:strike w:val="false"/>
          <w:dstrike w:val="false"/>
          <w:sz w:val="26"/>
          <w:szCs w:val="26"/>
          <w:u w:val="none"/>
          <w:effect w:val="none"/>
        </w:rPr>
        <w:t>DZIAŁ 6. Równania</w:t>
      </w:r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dopuszczającą (2):</w:t>
      </w:r>
    </w:p>
    <w:p>
      <w:pPr>
        <w:pStyle w:val="Tretekstu"/>
        <w:numPr>
          <w:ilvl w:val="1"/>
          <w:numId w:val="6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Rozróżnia lewą (L) i prawą (P) stronę równania.</w:t>
      </w:r>
    </w:p>
    <w:p>
      <w:pPr>
        <w:pStyle w:val="Tretekstu"/>
        <w:numPr>
          <w:ilvl w:val="1"/>
          <w:numId w:val="6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Sprawdza metodą podstawiania (bez rozwiązywania), czy dana liczba spełnia podane równanie.</w:t>
      </w:r>
    </w:p>
    <w:p>
      <w:pPr>
        <w:pStyle w:val="Tretekstu"/>
        <w:numPr>
          <w:ilvl w:val="1"/>
          <w:numId w:val="6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Rozpoznaje proste równanie liniowe z jedną niewiadomą.</w:t>
      </w:r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dostateczną (3):</w:t>
      </w:r>
    </w:p>
    <w:p>
      <w:pPr>
        <w:pStyle w:val="Tretekstu"/>
        <w:numPr>
          <w:ilvl w:val="1"/>
          <w:numId w:val="29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 xml:space="preserve">Rozwiązuje proste, standardowe równania liniowe przy użyciu metody operacji obustronnych, np. 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r>
      <m:oMath xmlns:m="http://schemas.openxmlformats.org/officeDocument/2006/math">
        <m:r>
          <w:rPr>
            <w:rFonts w:ascii="Cambria Math" w:hAnsi="Cambria Math"/>
          </w:rPr>
          <m:t xml:space="preserve">3</m:t>
        </m:r>
        <m:r>
          <w:rPr>
            <w:rFonts w:ascii="Cambria Math" w:hAnsi="Cambria Math"/>
          </w:rPr>
          <m:t xml:space="preserve">x</m:t>
        </m:r>
        <m:r>
          <w:rPr>
            <w:rFonts w:ascii="Cambria Math" w:hAnsi="Cambria Math"/>
          </w:rPr>
          <m:t xml:space="preserve">−</m:t>
        </m:r>
        <m:r>
          <w:rPr>
            <w:rFonts w:ascii="Cambria Math" w:hAnsi="Cambria Math"/>
          </w:rPr>
          <m:t xml:space="preserve">4</m:t>
        </m:r>
        <m:r>
          <w:rPr>
            <w:rFonts w:ascii="Cambria Math" w:hAnsi="Cambria Math"/>
          </w:rPr>
          <m:t xml:space="preserve">=</m:t>
        </m:r>
        <m:r>
          <w:rPr>
            <w:rFonts w:ascii="Cambria Math" w:hAnsi="Cambria Math"/>
          </w:rPr>
          <m:t xml:space="preserve">11</m:t>
        </m:r>
      </m:oMath>
    </w:p>
    <w:p>
      <w:pPr>
        <w:pStyle w:val="Tretekstu"/>
        <w:numPr>
          <w:ilvl w:val="1"/>
          <w:numId w:val="6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Sprawdza poprawność rozwiązania równania poprzez podstawienie otrzymanego wyniku.</w:t>
      </w:r>
    </w:p>
    <w:p>
      <w:pPr>
        <w:pStyle w:val="Tretekstu"/>
        <w:numPr>
          <w:ilvl w:val="1"/>
          <w:numId w:val="6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Rozwiązuje bardzo proste, jednostopniowe zadania tekstowe za pomocą równań.</w:t>
      </w:r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dobrą (4):</w:t>
      </w:r>
    </w:p>
    <w:p>
      <w:pPr>
        <w:pStyle w:val="Tretekstu"/>
        <w:numPr>
          <w:ilvl w:val="1"/>
          <w:numId w:val="30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 xml:space="preserve">Rozwiązuje równania wymagające wcześniejszego uproszczenia, np. z nawiasami lub prostymi ułamkami: 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r>
      <m:oMath xmlns:m="http://schemas.openxmlformats.org/officeDocument/2006/math">
        <m:f>
          <m:num>
            <m:r>
              <w:rPr>
                <w:rFonts w:ascii="Cambria Math" w:hAnsi="Cambria Math"/>
              </w:rPr>
              <m:t xml:space="preserve">x</m:t>
            </m:r>
          </m:num>
          <m:den>
            <m:r>
              <w:rPr>
                <w:rFonts w:ascii="Cambria Math" w:hAnsi="Cambria Math"/>
              </w:rPr>
              <m:t xml:space="preserve">2</m:t>
            </m:r>
            <m:r>
              <w:rPr>
                <w:rFonts w:ascii="Cambria Math" w:hAnsi="Cambria Math"/>
              </w:rPr>
              <m:t xml:space="preserve">+</m:t>
            </m:r>
            <m:r>
              <w:rPr>
                <w:rFonts w:ascii="Cambria Math" w:hAnsi="Cambria Math"/>
              </w:rPr>
              <m:t xml:space="preserve">3</m:t>
            </m:r>
          </m:den>
        </m:f>
        <m:r>
          <w:rPr>
            <w:rFonts w:ascii="Cambria Math" w:hAnsi="Cambria Math"/>
          </w:rPr>
          <m:t xml:space="preserve">=</m:t>
        </m:r>
        <m:r>
          <w:rPr>
            <w:rFonts w:ascii="Cambria Math" w:hAnsi="Cambria Math"/>
          </w:rPr>
          <m:t xml:space="preserve">7</m:t>
        </m:r>
      </m:oMath>
    </w:p>
    <w:p>
      <w:pPr>
        <w:pStyle w:val="Tretekstu"/>
        <w:numPr>
          <w:ilvl w:val="1"/>
          <w:numId w:val="6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Zapisuje związki między wielkościami za pomocą równania na podstawie rozbudowanej treści zadania.</w:t>
      </w:r>
    </w:p>
    <w:p>
      <w:pPr>
        <w:pStyle w:val="Tretekstu"/>
        <w:numPr>
          <w:ilvl w:val="1"/>
          <w:numId w:val="6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Rozwiązuje klasyczne zadania tekstowe (np. o wieku, o liczbach, proste zadania geometryczne) z użyciem równań.</w:t>
      </w:r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bardzo dobrą (5):</w:t>
      </w:r>
    </w:p>
    <w:p>
      <w:pPr>
        <w:pStyle w:val="Tretekstu"/>
        <w:numPr>
          <w:ilvl w:val="1"/>
          <w:numId w:val="31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Rozwiązuje trudne równania z ułamkami w mianownikach (wymagające obustronnego pomnożenia przez wspólny mianownik).</w:t>
      </w:r>
    </w:p>
    <w:p>
      <w:pPr>
        <w:pStyle w:val="Tretekstu"/>
        <w:numPr>
          <w:ilvl w:val="1"/>
          <w:numId w:val="6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 xml:space="preserve">Rozpoznaje i poprawnie interpretuje równania tożsamościowe - nieskończenie wiele rozwiązań, 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r>
      <m:oMath xmlns:m="http://schemas.openxmlformats.org/officeDocument/2006/math">
        <m:r>
          <w:rPr>
            <w:rFonts w:ascii="Cambria Math" w:hAnsi="Cambria Math"/>
          </w:rPr>
          <m:t xml:space="preserve">0</m:t>
        </m:r>
        <m:r>
          <w:rPr>
            <w:rFonts w:ascii="Cambria Math" w:hAnsi="Cambria Math"/>
          </w:rPr>
          <m:t xml:space="preserve">=</m:t>
        </m:r>
        <m:r>
          <w:rPr>
            <w:rFonts w:ascii="Cambria Math" w:hAnsi="Cambria Math"/>
          </w:rPr>
          <m:t xml:space="preserve">0</m:t>
        </m:r>
      </m:oMath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 xml:space="preserve"> oraz sprzeczne - brak rozwiązań, 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r>
      <m:oMath xmlns:m="http://schemas.openxmlformats.org/officeDocument/2006/math">
        <m:r>
          <w:rPr>
            <w:rFonts w:ascii="Cambria Math" w:hAnsi="Cambria Math"/>
          </w:rPr>
          <m:t xml:space="preserve">0</m:t>
        </m:r>
        <m:r>
          <w:rPr>
            <w:rFonts w:ascii="Cambria Math" w:hAnsi="Cambria Math"/>
          </w:rPr>
          <m:t xml:space="preserve">=</m:t>
        </m:r>
        <m:r>
          <w:rPr>
            <w:rFonts w:ascii="Cambria Math" w:hAnsi="Cambria Math"/>
          </w:rPr>
          <m:t xml:space="preserve">5</m:t>
        </m:r>
      </m:oMath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.</w:t>
      </w:r>
    </w:p>
    <w:p>
      <w:pPr>
        <w:pStyle w:val="Tretekstu"/>
        <w:numPr>
          <w:ilvl w:val="1"/>
          <w:numId w:val="6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Rozwiązuje skomplikowane zadania tekstowe (np. zadania o ruchu: prędkość-droga-czas, zadania o stężeniach procentowych mieszanin).</w:t>
      </w:r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celującą (6):</w:t>
      </w:r>
    </w:p>
    <w:p>
      <w:pPr>
        <w:pStyle w:val="Tretekstu"/>
        <w:numPr>
          <w:ilvl w:val="1"/>
          <w:numId w:val="32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Rozwiązuje zadania tekstowe o stopniu trudności konkursowym oraz równania z parametrem lub wartością bezwzględną.</w:t>
      </w:r>
    </w:p>
    <w:p>
      <w:pPr>
        <w:pStyle w:val="Liniapozioma"/>
        <w:bidi w:val="0"/>
        <w:spacing w:lineRule="auto" w:line="240"/>
        <w:jc w:val="left"/>
        <w:rPr>
          <w:rFonts w:ascii="Times New Roman" w:hAnsi="Times New Roman"/>
          <w:sz w:val="8"/>
          <w:szCs w:val="8"/>
        </w:rPr>
      </w:pPr>
      <w:r>
        <w:rPr>
          <w:rFonts w:ascii="Times New Roman" w:hAnsi="Times New Roman"/>
          <w:sz w:val="8"/>
          <w:szCs w:val="8"/>
        </w:rPr>
      </w:r>
    </w:p>
    <w:p>
      <w:pPr>
        <w:pStyle w:val="Tretekstu"/>
        <w:bidi w:val="0"/>
        <w:spacing w:lineRule="auto" w:line="240" w:before="360" w:after="180"/>
        <w:ind w:left="0" w:right="0" w:hanging="0"/>
        <w:jc w:val="left"/>
        <w:rPr>
          <w:rFonts w:ascii="Times New Roman" w:hAnsi="Times New Roman"/>
          <w:b/>
          <w:strike w:val="false"/>
          <w:dstrike w:val="false"/>
          <w:sz w:val="26"/>
          <w:szCs w:val="26"/>
          <w:u w:val="none"/>
          <w:effect w:val="none"/>
        </w:rPr>
      </w:pPr>
      <w:r>
        <w:rPr>
          <w:rFonts w:ascii="Times New Roman" w:hAnsi="Times New Roman"/>
          <w:b/>
          <w:strike w:val="false"/>
          <w:dstrike w:val="false"/>
          <w:sz w:val="26"/>
          <w:szCs w:val="26"/>
          <w:u w:val="none"/>
          <w:effect w:val="none"/>
        </w:rPr>
        <w:t>DZIAŁ 7. Figury płaskie i Twierdzenie Pitagorasa</w:t>
      </w:r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dopuszczającą (2):</w:t>
      </w:r>
    </w:p>
    <w:p>
      <w:pPr>
        <w:pStyle w:val="Tretekstu"/>
        <w:numPr>
          <w:ilvl w:val="1"/>
          <w:numId w:val="7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Rozpoznaje, nazywa i rysuje podstawowe trójkąty (ostrokątny, prostokątny, rozwartokątny, równoramienny, równoboczny).</w:t>
      </w:r>
    </w:p>
    <w:p>
      <w:pPr>
        <w:pStyle w:val="Tretekstu"/>
        <w:numPr>
          <w:ilvl w:val="1"/>
          <w:numId w:val="7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Zna i rozpoznaje kąty przyległe, wierzchołkowe, odpowiadające i naprzemianległe.</w:t>
      </w:r>
    </w:p>
    <w:p>
      <w:pPr>
        <w:pStyle w:val="Tretekstu"/>
        <w:numPr>
          <w:ilvl w:val="1"/>
          <w:numId w:val="7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 xml:space="preserve">Zna treść twierdzenia Pitagorasa i potrafi zapisać je wzorem 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r>
      <m:oMath xmlns:m="http://schemas.openxmlformats.org/officeDocument/2006/math">
        <m:sSup>
          <m:e>
            <m:r>
              <w:rPr>
                <w:rFonts w:ascii="Cambria Math" w:hAnsi="Cambria Math"/>
              </w:rPr>
              <m:t xml:space="preserve">a</m:t>
            </m:r>
          </m:e>
          <m:sup>
            <m:r>
              <w:rPr>
                <w:rFonts w:ascii="Cambria Math" w:hAnsi="Cambria Math"/>
              </w:rPr>
              <m:t xml:space="preserve">2</m:t>
            </m:r>
          </m:sup>
        </m:sSup>
        <m:r>
          <w:rPr>
            <w:rFonts w:ascii="Cambria Math" w:hAnsi="Cambria Math"/>
          </w:rPr>
          <m:t xml:space="preserve">+</m:t>
        </m:r>
        <m:sSup>
          <m:e>
            <m:r>
              <w:rPr>
                <w:rFonts w:ascii="Cambria Math" w:hAnsi="Cambria Math"/>
              </w:rPr>
              <m:t xml:space="preserve">b</m:t>
            </m:r>
          </m:e>
          <m:sup>
            <m:r>
              <w:rPr>
                <w:rFonts w:ascii="Cambria Math" w:hAnsi="Cambria Math"/>
              </w:rPr>
              <m:t xml:space="preserve">2</m:t>
            </m:r>
          </m:sup>
        </m:sSup>
        <m:r>
          <w:rPr>
            <w:rFonts w:ascii="Cambria Math" w:hAnsi="Cambria Math"/>
          </w:rPr>
          <m:t xml:space="preserve">=</m:t>
        </m:r>
        <m:sSup>
          <m:e>
            <m:r>
              <w:rPr>
                <w:rFonts w:ascii="Cambria Math" w:hAnsi="Cambria Math"/>
              </w:rPr>
              <m:t xml:space="preserve">c</m:t>
            </m:r>
          </m:e>
          <m:sup>
            <m:r>
              <w:rPr>
                <w:rFonts w:ascii="Cambria Math" w:hAnsi="Cambria Math"/>
              </w:rPr>
              <m:t xml:space="preserve">2</m:t>
            </m:r>
          </m:sup>
        </m:sSup>
      </m:oMath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 xml:space="preserve"> dla wskazanego trójkąta prostokątnego.</w:t>
      </w:r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dostateczną (3):</w:t>
      </w:r>
    </w:p>
    <w:p>
      <w:pPr>
        <w:pStyle w:val="Tretekstu"/>
        <w:numPr>
          <w:ilvl w:val="1"/>
          <w:numId w:val="33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 xml:space="preserve">Oblicza miary brakujących kątów w trójkątach i czworokątach, korzystając z sumy kątów 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r>
      <m:oMath xmlns:m="http://schemas.openxmlformats.org/officeDocument/2006/math">
        <m:sSup>
          <m:e>
            <m:r>
              <w:rPr>
                <w:rFonts w:ascii="Cambria Math" w:hAnsi="Cambria Math"/>
              </w:rPr>
              <m:t xml:space="preserve">180</m:t>
            </m:r>
          </m:e>
          <m:sup>
            <m:r>
              <w:rPr>
                <w:rFonts w:ascii="Cambria Math" w:hAnsi="Cambria Math"/>
              </w:rPr>
              <m:t xml:space="preserve">∘</m:t>
            </m:r>
          </m:sup>
        </m:sSup>
      </m:oMath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 xml:space="preserve"> i 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r>
      <m:oMath xmlns:m="http://schemas.openxmlformats.org/officeDocument/2006/math">
        <m:sSup>
          <m:e>
            <m:r>
              <w:rPr>
                <w:rFonts w:ascii="Cambria Math" w:hAnsi="Cambria Math"/>
              </w:rPr>
              <m:t xml:space="preserve">360</m:t>
            </m:r>
          </m:e>
          <m:sup>
            <m:r>
              <w:rPr>
                <w:rFonts w:ascii="Cambria Math" w:hAnsi="Cambria Math"/>
              </w:rPr>
              <m:t xml:space="preserve">∘</m:t>
            </m:r>
          </m:sup>
        </m:sSup>
      </m:oMath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oraz własności kątów przyległych/wierzchołkowych.</w:t>
      </w:r>
    </w:p>
    <w:p>
      <w:pPr>
        <w:pStyle w:val="Tretekstu"/>
        <w:numPr>
          <w:ilvl w:val="1"/>
          <w:numId w:val="7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Stosuje twierdzenie Pitagorasa do obliczenia długości trzeciego boku trójkąta prostokątnego, gdy dane są dwa pozostałe boki.</w:t>
      </w:r>
    </w:p>
    <w:p>
      <w:pPr>
        <w:pStyle w:val="Tretekstu"/>
        <w:numPr>
          <w:ilvl w:val="1"/>
          <w:numId w:val="7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Sprawdza, czy z trzech odcinków o danych długościach można zbudować trójkąt (warunek trójkąta).</w:t>
      </w:r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dobrą (4):</w:t>
      </w:r>
    </w:p>
    <w:p>
      <w:pPr>
        <w:pStyle w:val="Tretekstu"/>
        <w:numPr>
          <w:ilvl w:val="1"/>
          <w:numId w:val="34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Stosuje twierdzenie Pitagorasa w typowych zadaniach geometrycznych (np. obliczanie wysokości trójkąta równoramiennego przy danych bokach, obliczanie przekątnej prostokąta).</w:t>
      </w:r>
    </w:p>
    <w:p>
      <w:pPr>
        <w:pStyle w:val="Tretekstu"/>
        <w:numPr>
          <w:ilvl w:val="1"/>
          <w:numId w:val="7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 xml:space="preserve">Wykorzystuje w obliczeniach własności tzw. „ekierkowych” trójkątów prostokątnych o kątach o miarach: 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r>
      <m:oMath xmlns:m="http://schemas.openxmlformats.org/officeDocument/2006/math">
        <m:sSup>
          <m:e>
            <m:r>
              <w:rPr>
                <w:rFonts w:ascii="Cambria Math" w:hAnsi="Cambria Math"/>
              </w:rPr>
              <m:t xml:space="preserve">90</m:t>
            </m:r>
          </m:e>
          <m:sup>
            <m:r>
              <w:rPr>
                <w:rFonts w:ascii="Cambria Math" w:hAnsi="Cambria Math"/>
              </w:rPr>
              <m:t xml:space="preserve">∘</m:t>
            </m:r>
          </m:sup>
        </m:sSup>
        <m:r>
          <w:rPr>
            <w:rFonts w:ascii="Cambria Math" w:hAnsi="Cambria Math"/>
          </w:rPr>
          <m:t xml:space="preserve">,</m:t>
        </m:r>
        <m:sSup>
          <m:e>
            <m:r>
              <w:rPr>
                <w:rFonts w:ascii="Cambria Math" w:hAnsi="Cambria Math"/>
              </w:rPr>
              <m:t xml:space="preserve">45</m:t>
            </m:r>
          </m:e>
          <m:sup>
            <m:r>
              <w:rPr>
                <w:rFonts w:ascii="Cambria Math" w:hAnsi="Cambria Math"/>
              </w:rPr>
              <m:t xml:space="preserve">∘</m:t>
            </m:r>
          </m:sup>
        </m:sSup>
        <m:r>
          <w:rPr>
            <w:rFonts w:ascii="Cambria Math" w:hAnsi="Cambria Math"/>
          </w:rPr>
          <m:t xml:space="preserve">,</m:t>
        </m:r>
        <m:sSup>
          <m:e>
            <m:r>
              <w:rPr>
                <w:rFonts w:ascii="Cambria Math" w:hAnsi="Cambria Math"/>
              </w:rPr>
              <m:t xml:space="preserve">45</m:t>
            </m:r>
          </m:e>
          <m:sup>
            <m:r>
              <w:rPr>
                <w:rFonts w:ascii="Cambria Math" w:hAnsi="Cambria Math"/>
              </w:rPr>
              <m:t xml:space="preserve">∘</m:t>
            </m:r>
          </m:sup>
        </m:sSup>
      </m:oMath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 xml:space="preserve"> oraz 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r>
      <m:oMath xmlns:m="http://schemas.openxmlformats.org/officeDocument/2006/math">
        <m:sSup>
          <m:e>
            <m:r>
              <w:rPr>
                <w:rFonts w:ascii="Cambria Math" w:hAnsi="Cambria Math"/>
              </w:rPr>
              <m:t xml:space="preserve">90</m:t>
            </m:r>
          </m:e>
          <m:sup>
            <m:r>
              <w:rPr>
                <w:rFonts w:ascii="Cambria Math" w:hAnsi="Cambria Math"/>
              </w:rPr>
              <m:t xml:space="preserve">∘</m:t>
            </m:r>
          </m:sup>
        </m:sSup>
        <m:r>
          <w:rPr>
            <w:rFonts w:ascii="Cambria Math" w:hAnsi="Cambria Math"/>
          </w:rPr>
          <m:t xml:space="preserve">,</m:t>
        </m:r>
        <m:sSup>
          <m:e>
            <m:r>
              <w:rPr>
                <w:rFonts w:ascii="Cambria Math" w:hAnsi="Cambria Math"/>
              </w:rPr>
              <m:t xml:space="preserve">60</m:t>
            </m:r>
          </m:e>
          <m:sup>
            <m:r>
              <w:rPr>
                <w:rFonts w:ascii="Cambria Math" w:hAnsi="Cambria Math"/>
              </w:rPr>
              <m:t xml:space="preserve">∘</m:t>
            </m:r>
          </m:sup>
        </m:sSup>
        <m:r>
          <w:rPr>
            <w:rFonts w:ascii="Cambria Math" w:hAnsi="Cambria Math"/>
          </w:rPr>
          <m:t xml:space="preserve">,</m:t>
        </m:r>
        <m:sSup>
          <m:e>
            <m:r>
              <w:rPr>
                <w:rFonts w:ascii="Cambria Math" w:hAnsi="Cambria Math"/>
              </w:rPr>
              <m:t xml:space="preserve">30</m:t>
            </m:r>
          </m:e>
          <m:sup>
            <m:r>
              <w:rPr>
                <w:rFonts w:ascii="Cambria Math" w:hAnsi="Cambria Math"/>
              </w:rPr>
              <m:t xml:space="preserve">∘</m:t>
            </m:r>
          </m:sup>
        </m:sSup>
      </m:oMath>
    </w:p>
    <w:p>
      <w:pPr>
        <w:pStyle w:val="Tretekstu"/>
        <w:numPr>
          <w:ilvl w:val="1"/>
          <w:numId w:val="7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Rozwiązuje praktyczne zadania tekstowe z wykorzystaniem twierdzenia Pitagorasa (np. drabina oparta o ścianę, zasięg wzroku).</w:t>
      </w:r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bardzo dobrą (5):</w:t>
      </w:r>
    </w:p>
    <w:p>
      <w:pPr>
        <w:pStyle w:val="Tretekstu"/>
        <w:numPr>
          <w:ilvl w:val="1"/>
          <w:numId w:val="35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Łączy własności różnych figur płaskich i twierdzenia Pitagorasa w trudnych, wieloetapowych zadaniach obliczeniowych (np. obliczanie elementów trapezu lub rombu).</w:t>
      </w:r>
    </w:p>
    <w:p>
      <w:pPr>
        <w:pStyle w:val="Tretekstu"/>
        <w:numPr>
          <w:ilvl w:val="1"/>
          <w:numId w:val="7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Przeprowadza logiczne dowody geometryczne (np. uzasadnia równość miar kątów lub wykazuje przystawanie trójkątów na podstawie cech bbb, kbk, bkb).</w:t>
      </w:r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celującą (6):</w:t>
      </w:r>
    </w:p>
    <w:p>
      <w:pPr>
        <w:pStyle w:val="Tretekstu"/>
        <w:numPr>
          <w:ilvl w:val="1"/>
          <w:numId w:val="36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Rozwiązuje zaawansowane geometryczne zadania dowodowe i konstrukcyjne, samodzielnie odkrywając niestandardowe zależności między elementami figur.</w:t>
      </w:r>
    </w:p>
    <w:p>
      <w:pPr>
        <w:pStyle w:val="Liniapozioma"/>
        <w:bidi w:val="0"/>
        <w:spacing w:lineRule="auto" w:line="240"/>
        <w:jc w:val="left"/>
        <w:rPr>
          <w:rFonts w:ascii="Times New Roman" w:hAnsi="Times New Roman"/>
          <w:sz w:val="8"/>
          <w:szCs w:val="8"/>
        </w:rPr>
      </w:pPr>
      <w:r>
        <w:rPr>
          <w:rFonts w:ascii="Times New Roman" w:hAnsi="Times New Roman"/>
          <w:sz w:val="8"/>
          <w:szCs w:val="8"/>
        </w:rPr>
      </w:r>
    </w:p>
    <w:p>
      <w:pPr>
        <w:pStyle w:val="Tretekstu"/>
        <w:bidi w:val="0"/>
        <w:spacing w:lineRule="auto" w:line="240" w:before="360" w:after="180"/>
        <w:ind w:left="0" w:right="0" w:hanging="0"/>
        <w:jc w:val="left"/>
        <w:rPr>
          <w:rFonts w:ascii="Times New Roman" w:hAnsi="Times New Roman"/>
          <w:b/>
          <w:strike w:val="false"/>
          <w:dstrike w:val="false"/>
          <w:sz w:val="26"/>
          <w:szCs w:val="26"/>
          <w:u w:val="none"/>
          <w:effect w:val="none"/>
        </w:rPr>
      </w:pPr>
      <w:r>
        <w:rPr>
          <w:rFonts w:ascii="Times New Roman" w:hAnsi="Times New Roman"/>
          <w:b/>
          <w:strike w:val="false"/>
          <w:dstrike w:val="false"/>
          <w:sz w:val="26"/>
          <w:szCs w:val="26"/>
          <w:u w:val="none"/>
          <w:effect w:val="none"/>
        </w:rPr>
        <w:t>DZIAŁ 8. Wielokąty i pola figur</w:t>
      </w:r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dopuszczającą (2):</w:t>
      </w:r>
    </w:p>
    <w:p>
      <w:pPr>
        <w:pStyle w:val="Tretekstu"/>
        <w:numPr>
          <w:ilvl w:val="1"/>
          <w:numId w:val="8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Rozpoznaje i nazywa podstawowe czworokąty (kwadrat, prostokąt, równoległobok, romb, trapez, deltoid).</w:t>
      </w:r>
    </w:p>
    <w:p>
      <w:pPr>
        <w:pStyle w:val="Tretekstu"/>
        <w:numPr>
          <w:ilvl w:val="1"/>
          <w:numId w:val="8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Zna i poprawnie przepisuje podstawowe wzory na pola tych czworokątów oraz trójkąta.</w:t>
      </w:r>
    </w:p>
    <w:p>
      <w:pPr>
        <w:pStyle w:val="Tretekstu"/>
        <w:numPr>
          <w:ilvl w:val="1"/>
          <w:numId w:val="8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Oblicza pole figury w prościutkich przypadkach, gdy dane są podane bezpośrednio (np. podstawa i wysokość).</w:t>
      </w:r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dostateczną (3):</w:t>
      </w:r>
    </w:p>
    <w:p>
      <w:pPr>
        <w:pStyle w:val="Tretekstu"/>
        <w:numPr>
          <w:ilvl w:val="1"/>
          <w:numId w:val="37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Oblicza pole i obwód trójkąta oraz czworokątów, samodzielnie dopasowując odpowiednie długości odcinków (np. odrzucając zbędne dane).</w:t>
      </w:r>
    </w:p>
    <w:p>
      <w:pPr>
        <w:pStyle w:val="Tretekstu"/>
        <w:numPr>
          <w:ilvl w:val="1"/>
          <w:numId w:val="8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 xml:space="preserve">Wykonuje proste zamiany jednostek pola (np. 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r>
      <m:oMath xmlns:m="http://schemas.openxmlformats.org/officeDocument/2006/math">
        <m:sSup>
          <m:e>
            <m:r>
              <w:rPr>
                <w:rFonts w:ascii="Cambria Math" w:hAnsi="Cambria Math"/>
              </w:rPr>
              <m:t xml:space="preserve">cm</m:t>
            </m:r>
          </m:e>
          <m:sup>
            <m:r>
              <w:rPr>
                <w:rFonts w:ascii="Cambria Math" w:hAnsi="Cambria Math"/>
              </w:rPr>
              <m:t xml:space="preserve">2</m:t>
            </m:r>
          </m:sup>
        </m:sSup>
      </m:oMath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 xml:space="preserve"> na </w:t>
      </w: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r>
      <m:oMath xmlns:m="http://schemas.openxmlformats.org/officeDocument/2006/math">
        <m:sSup>
          <m:e>
            <m:r>
              <w:rPr>
                <w:rFonts w:ascii="Cambria Math" w:hAnsi="Cambria Math"/>
              </w:rPr>
              <m:t xml:space="preserve">dm</m:t>
            </m:r>
          </m:e>
          <m:sup>
            <m:r>
              <w:rPr>
                <w:rFonts w:ascii="Cambria Math" w:hAnsi="Cambria Math"/>
              </w:rPr>
              <m:t xml:space="preserve">2</m:t>
            </m:r>
          </m:sup>
        </m:sSup>
      </m:oMath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, metry na ary/hektary).</w:t>
      </w:r>
    </w:p>
    <w:p>
      <w:pPr>
        <w:pStyle w:val="Tretekstu"/>
        <w:numPr>
          <w:ilvl w:val="1"/>
          <w:numId w:val="8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Definiuje i rozpoznaje wielokąt foremny (np. trójkąt równoboczny, kwadrat).</w:t>
      </w:r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dobrą (4):</w:t>
      </w:r>
    </w:p>
    <w:p>
      <w:pPr>
        <w:pStyle w:val="Tretekstu"/>
        <w:numPr>
          <w:ilvl w:val="1"/>
          <w:numId w:val="38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Oblicza pola figur złożonych poprzez ich podział na prostsze wielokąty (np. podział narysowanej na siatce figury na prostokąty i trójkąty) lub przez dopełnianie.</w:t>
      </w:r>
    </w:p>
    <w:p>
      <w:pPr>
        <w:pStyle w:val="Tretekstu"/>
        <w:numPr>
          <w:ilvl w:val="1"/>
          <w:numId w:val="8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Rozwiązuje zadania tekstowe, w których pole figury jest powiązane z innymi działami (np. obliczanie kosztu pomalowania ściany o danym kształcie, uwzględniając okna).</w:t>
      </w:r>
    </w:p>
    <w:p>
      <w:pPr>
        <w:pStyle w:val="Tretekstu"/>
        <w:numPr>
          <w:ilvl w:val="1"/>
          <w:numId w:val="8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Zna własności kątów w wielokątach foremnych (np. potrafi wyznaczyć miarę kąta wewnętrznego sześciokąta foremnego).</w:t>
      </w:r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bardzo dobrą (5):</w:t>
      </w:r>
    </w:p>
    <w:p>
      <w:pPr>
        <w:pStyle w:val="Tretekstu"/>
        <w:numPr>
          <w:ilvl w:val="1"/>
          <w:numId w:val="39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Rozwiązuje trudne zadania optymalizacyjne lub zadania z parametrem literowym dotyczące pól powierzchni.</w:t>
      </w:r>
    </w:p>
    <w:p>
      <w:pPr>
        <w:pStyle w:val="Tretekstu"/>
        <w:numPr>
          <w:ilvl w:val="1"/>
          <w:numId w:val="8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Płynnie łączy wiedzę o polach powierzchni z twierdzeniem Pitagorasa oraz własnościami pierwiastków (np. obliczanie pola trójkąta równobocznego lub trapezu, gdzie wysokość trzeba najpierw wyliczyć).</w:t>
      </w:r>
    </w:p>
    <w:p>
      <w:pPr>
        <w:pStyle w:val="Tretekstu"/>
        <w:numPr>
          <w:ilvl w:val="0"/>
          <w:numId w:val="0"/>
        </w:numPr>
        <w:pBdr/>
        <w:bidi w:val="0"/>
        <w:spacing w:lineRule="auto" w:line="240" w:before="0" w:after="0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0"/>
          <w:szCs w:val="20"/>
          <w:u w:val="none"/>
          <w:effect w:val="none"/>
        </w:rPr>
        <w:t>Na ocenę celującą (6):</w:t>
      </w:r>
    </w:p>
    <w:p>
      <w:pPr>
        <w:pStyle w:val="Tretekstu"/>
        <w:numPr>
          <w:ilvl w:val="1"/>
          <w:numId w:val="40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0"/>
          <w:szCs w:val="20"/>
          <w:u w:val="none"/>
          <w:effect w:val="none"/>
        </w:rPr>
        <w:t>Rozwiązuje skomplikowane zadania konkursowe dotyczące pól i własności wielokątów, w tym zadania wymagające niestandardowych podziałów i dowodów matematycznych.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9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"/>
    <w:lvlOverride w:ilvl="0"/>
    <w:lvlOverride w:ilvl="1">
      <w:startOverride w:val="1"/>
    </w:lvlOverride>
  </w:num>
  <w:num w:numId="11">
    <w:abstractNumId w:val="1"/>
    <w:lvlOverride w:ilvl="0"/>
    <w:lvlOverride w:ilvl="1">
      <w:startOverride w:val="1"/>
    </w:lvlOverride>
  </w:num>
  <w:num w:numId="12">
    <w:abstractNumId w:val="1"/>
    <w:lvlOverride w:ilvl="0"/>
    <w:lvlOverride w:ilvl="1">
      <w:startOverride w:val="1"/>
    </w:lvlOverride>
  </w:num>
  <w:num w:numId="13">
    <w:abstractNumId w:val="1"/>
    <w:lvlOverride w:ilvl="0"/>
    <w:lvlOverride w:ilvl="1">
      <w:startOverride w:val="1"/>
    </w:lvlOverride>
  </w:num>
  <w:num w:numId="14">
    <w:abstractNumId w:val="2"/>
    <w:lvlOverride w:ilvl="0"/>
    <w:lvlOverride w:ilvl="1">
      <w:startOverride w:val="1"/>
    </w:lvlOverride>
  </w:num>
  <w:num w:numId="15">
    <w:abstractNumId w:val="2"/>
    <w:lvlOverride w:ilvl="0"/>
    <w:lvlOverride w:ilvl="1">
      <w:startOverride w:val="1"/>
    </w:lvlOverride>
  </w:num>
  <w:num w:numId="16">
    <w:abstractNumId w:val="2"/>
    <w:lvlOverride w:ilvl="0"/>
    <w:lvlOverride w:ilvl="1">
      <w:startOverride w:val="1"/>
    </w:lvlOverride>
  </w:num>
  <w:num w:numId="17">
    <w:abstractNumId w:val="2"/>
    <w:lvlOverride w:ilvl="0"/>
    <w:lvlOverride w:ilvl="1">
      <w:startOverride w:val="1"/>
    </w:lvlOverride>
  </w:num>
  <w:num w:numId="18">
    <w:abstractNumId w:val="3"/>
    <w:lvlOverride w:ilvl="0"/>
    <w:lvlOverride w:ilvl="1">
      <w:startOverride w:val="1"/>
    </w:lvlOverride>
  </w:num>
  <w:num w:numId="19">
    <w:abstractNumId w:val="3"/>
    <w:lvlOverride w:ilvl="0"/>
    <w:lvlOverride w:ilvl="1">
      <w:startOverride w:val="1"/>
    </w:lvlOverride>
  </w:num>
  <w:num w:numId="20">
    <w:abstractNumId w:val="3"/>
    <w:lvlOverride w:ilvl="0"/>
    <w:lvlOverride w:ilvl="1">
      <w:startOverride w:val="1"/>
    </w:lvlOverride>
  </w:num>
  <w:num w:numId="21">
    <w:abstractNumId w:val="3"/>
    <w:lvlOverride w:ilvl="0"/>
    <w:lvlOverride w:ilvl="1">
      <w:startOverride w:val="1"/>
    </w:lvlOverride>
  </w:num>
  <w:num w:numId="22">
    <w:abstractNumId w:val="4"/>
    <w:lvlOverride w:ilvl="0"/>
    <w:lvlOverride w:ilvl="1">
      <w:startOverride w:val="1"/>
    </w:lvlOverride>
  </w:num>
  <w:num w:numId="23">
    <w:abstractNumId w:val="4"/>
    <w:lvlOverride w:ilvl="0"/>
    <w:lvlOverride w:ilvl="1">
      <w:startOverride w:val="1"/>
    </w:lvlOverride>
  </w:num>
  <w:num w:numId="24">
    <w:abstractNumId w:val="4"/>
    <w:lvlOverride w:ilvl="0"/>
    <w:lvlOverride w:ilvl="1">
      <w:startOverride w:val="1"/>
    </w:lvlOverride>
  </w:num>
  <w:num w:numId="25">
    <w:abstractNumId w:val="4"/>
    <w:lvlOverride w:ilvl="0"/>
    <w:lvlOverride w:ilvl="1">
      <w:startOverride w:val="1"/>
    </w:lvlOverride>
  </w:num>
  <w:num w:numId="26">
    <w:abstractNumId w:val="5"/>
    <w:lvlOverride w:ilvl="0"/>
    <w:lvlOverride w:ilvl="1">
      <w:startOverride w:val="1"/>
    </w:lvlOverride>
  </w:num>
  <w:num w:numId="27">
    <w:abstractNumId w:val="5"/>
    <w:lvlOverride w:ilvl="0"/>
    <w:lvlOverride w:ilvl="1">
      <w:startOverride w:val="1"/>
    </w:lvlOverride>
  </w:num>
  <w:num w:numId="28">
    <w:abstractNumId w:val="5"/>
    <w:lvlOverride w:ilvl="0"/>
    <w:lvlOverride w:ilvl="1">
      <w:startOverride w:val="1"/>
    </w:lvlOverride>
  </w:num>
  <w:num w:numId="29">
    <w:abstractNumId w:val="6"/>
    <w:lvlOverride w:ilvl="0"/>
    <w:lvlOverride w:ilvl="1">
      <w:startOverride w:val="1"/>
    </w:lvlOverride>
  </w:num>
  <w:num w:numId="30">
    <w:abstractNumId w:val="6"/>
    <w:lvlOverride w:ilvl="0"/>
    <w:lvlOverride w:ilvl="1">
      <w:startOverride w:val="1"/>
    </w:lvlOverride>
  </w:num>
  <w:num w:numId="31">
    <w:abstractNumId w:val="6"/>
    <w:lvlOverride w:ilvl="0"/>
    <w:lvlOverride w:ilvl="1">
      <w:startOverride w:val="1"/>
    </w:lvlOverride>
  </w:num>
  <w:num w:numId="32">
    <w:abstractNumId w:val="6"/>
    <w:lvlOverride w:ilvl="0"/>
    <w:lvlOverride w:ilvl="1">
      <w:startOverride w:val="1"/>
    </w:lvlOverride>
  </w:num>
  <w:num w:numId="33">
    <w:abstractNumId w:val="7"/>
    <w:lvlOverride w:ilvl="0"/>
    <w:lvlOverride w:ilvl="1">
      <w:startOverride w:val="1"/>
    </w:lvlOverride>
  </w:num>
  <w:num w:numId="34">
    <w:abstractNumId w:val="7"/>
    <w:lvlOverride w:ilvl="0"/>
    <w:lvlOverride w:ilvl="1">
      <w:startOverride w:val="1"/>
    </w:lvlOverride>
  </w:num>
  <w:num w:numId="35">
    <w:abstractNumId w:val="7"/>
    <w:lvlOverride w:ilvl="0"/>
    <w:lvlOverride w:ilvl="1">
      <w:startOverride w:val="1"/>
    </w:lvlOverride>
  </w:num>
  <w:num w:numId="36">
    <w:abstractNumId w:val="7"/>
    <w:lvlOverride w:ilvl="0"/>
    <w:lvlOverride w:ilvl="1">
      <w:startOverride w:val="1"/>
    </w:lvlOverride>
  </w:num>
  <w:num w:numId="37">
    <w:abstractNumId w:val="8"/>
    <w:lvlOverride w:ilvl="0"/>
    <w:lvlOverride w:ilvl="1">
      <w:startOverride w:val="1"/>
    </w:lvlOverride>
  </w:num>
  <w:num w:numId="38">
    <w:abstractNumId w:val="8"/>
    <w:lvlOverride w:ilvl="0"/>
    <w:lvlOverride w:ilvl="1">
      <w:startOverride w:val="1"/>
    </w:lvlOverride>
  </w:num>
  <w:num w:numId="39">
    <w:abstractNumId w:val="8"/>
    <w:lvlOverride w:ilvl="0"/>
    <w:lvlOverride w:ilvl="1">
      <w:startOverride w:val="1"/>
    </w:lvlOverride>
  </w:num>
  <w:num w:numId="40">
    <w:abstractNumId w:val="8"/>
    <w:lvlOverride w:ilvl="0"/>
    <w:lvlOverride w:ilvl="1">
      <w:startOverride w:val="1"/>
    </w:lvlOverride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Mocnewyrnione">
    <w:name w:val="Mocne wyróżnione"/>
    <w:qFormat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niapozioma">
    <w:name w:val="Linia pozioma"/>
    <w:basedOn w:val="Normal"/>
    <w:next w:val="Tretekstu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116</TotalTime>
  <Application>LibreOffice/7.3.4.2$Windows_X86_64 LibreOffice_project/728fec16bd5f605073805c3c9e7c4212a0120dc5</Application>
  <AppVersion>15.0000</AppVersion>
  <Pages>4</Pages>
  <Words>1659</Words>
  <Characters>10230</Characters>
  <CharactersWithSpaces>11608</CharactersWithSpaces>
  <Paragraphs>156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2026-10-12T21:39:11Z</dcterms:created>
  <dc:creator/>
  <dc:description/>
  <dc:language>pl-PL</dc:language>
  <cp:lastModifiedBy/>
  <dcterms:modified xsi:type="dcterms:W3CDTF">2026-10-12T23:35:14Z</dcterms:modified>
  <cp:revision>1</cp:revision>
  <dc:subject/>
  <dc:title/>
</cp:coreProperties>
</file>